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4D36C" w14:textId="77777777" w:rsidR="00531731" w:rsidRDefault="00531731" w:rsidP="00531731">
      <w:pPr>
        <w:spacing w:line="276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76AC7FB8" wp14:editId="52ACAC74">
            <wp:extent cx="734400" cy="930645"/>
            <wp:effectExtent l="0" t="0" r="8890" b="317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77" cy="94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F8A89" w14:textId="77777777" w:rsidR="00531731" w:rsidRPr="00A4216A" w:rsidRDefault="00531731" w:rsidP="00AB0F2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4216A">
        <w:rPr>
          <w:rFonts w:ascii="Times New Roman" w:hAnsi="Times New Roman" w:cs="Times New Roman"/>
          <w:b/>
          <w:color w:val="002060"/>
          <w:sz w:val="32"/>
          <w:szCs w:val="32"/>
        </w:rPr>
        <w:t>КОНТРОЛЬНО-СЧЁТНАЯ КОМИССИЯ</w:t>
      </w:r>
    </w:p>
    <w:p w14:paraId="08927B5F" w14:textId="77777777" w:rsidR="00531731" w:rsidRPr="00A4216A" w:rsidRDefault="00531731" w:rsidP="00AB0F2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4216A">
        <w:rPr>
          <w:rFonts w:ascii="Times New Roman" w:hAnsi="Times New Roman" w:cs="Times New Roman"/>
          <w:b/>
          <w:color w:val="002060"/>
          <w:sz w:val="32"/>
          <w:szCs w:val="32"/>
        </w:rPr>
        <w:t>ДОБРИНСКОГО МУНИЦИПАЛЬНОГО РАЙОНА</w:t>
      </w:r>
    </w:p>
    <w:p w14:paraId="76939791" w14:textId="77777777" w:rsidR="00531731" w:rsidRPr="00531731" w:rsidRDefault="00531731" w:rsidP="00AB0F2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216A">
        <w:rPr>
          <w:rFonts w:ascii="Times New Roman" w:hAnsi="Times New Roman" w:cs="Times New Roman"/>
          <w:b/>
          <w:color w:val="002060"/>
          <w:sz w:val="32"/>
          <w:szCs w:val="32"/>
        </w:rPr>
        <w:t>ЛИПЕЦКОЙ ОБЛАСТИ РОССИЙСКОЙ ФЕДЕРАЦИИ</w:t>
      </w:r>
    </w:p>
    <w:p w14:paraId="172A8E63" w14:textId="77777777" w:rsidR="00531731" w:rsidRPr="009272EC" w:rsidRDefault="00531731" w:rsidP="007E5D78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56A5376B" w14:textId="77777777" w:rsidR="009272EC" w:rsidRPr="00A4216A" w:rsidRDefault="00EA7671" w:rsidP="0076581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A4216A">
        <w:rPr>
          <w:rFonts w:ascii="Times New Roman" w:hAnsi="Times New Roman" w:cs="Times New Roman"/>
          <w:b/>
          <w:color w:val="002060"/>
          <w:sz w:val="72"/>
          <w:szCs w:val="72"/>
        </w:rPr>
        <w:t>ОТЧЕТ</w:t>
      </w:r>
      <w:r w:rsidR="009272EC" w:rsidRPr="00A4216A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</w:t>
      </w:r>
    </w:p>
    <w:p w14:paraId="32843A9D" w14:textId="77777777" w:rsidR="00BA4307" w:rsidRPr="0076581A" w:rsidRDefault="00EA7671" w:rsidP="00AB0F2E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76581A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о </w:t>
      </w:r>
      <w:r w:rsidR="009F6BCC" w:rsidRPr="0076581A">
        <w:rPr>
          <w:rFonts w:ascii="Times New Roman" w:hAnsi="Times New Roman" w:cs="Times New Roman"/>
          <w:b/>
          <w:color w:val="002060"/>
          <w:sz w:val="72"/>
          <w:szCs w:val="72"/>
        </w:rPr>
        <w:t>деятельности</w:t>
      </w:r>
      <w:r w:rsidRPr="0076581A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</w:t>
      </w:r>
    </w:p>
    <w:p w14:paraId="1B4BDA57" w14:textId="4F05F491" w:rsidR="009272EC" w:rsidRPr="00A4216A" w:rsidRDefault="00EA7671" w:rsidP="00AB0F2E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A4216A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Контрольно-счетной комиссии Добринского </w:t>
      </w:r>
      <w:r w:rsidR="009F6BCC" w:rsidRPr="00A4216A">
        <w:rPr>
          <w:rFonts w:ascii="Times New Roman" w:hAnsi="Times New Roman" w:cs="Times New Roman"/>
          <w:b/>
          <w:color w:val="002060"/>
          <w:sz w:val="56"/>
          <w:szCs w:val="56"/>
        </w:rPr>
        <w:t>м</w:t>
      </w:r>
      <w:r w:rsidRPr="00A4216A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униципального района </w:t>
      </w:r>
    </w:p>
    <w:p w14:paraId="4804069C" w14:textId="77777777" w:rsidR="00EA7671" w:rsidRPr="00A4216A" w:rsidRDefault="00EA7671" w:rsidP="00AB0F2E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A4216A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Липецкой области </w:t>
      </w:r>
    </w:p>
    <w:p w14:paraId="5D7E61B1" w14:textId="666515E6" w:rsidR="00EA7671" w:rsidRPr="00A4216A" w:rsidRDefault="00EA7671" w:rsidP="00AB0F2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A4216A">
        <w:rPr>
          <w:rFonts w:ascii="Times New Roman" w:hAnsi="Times New Roman" w:cs="Times New Roman"/>
          <w:b/>
          <w:color w:val="002060"/>
          <w:sz w:val="72"/>
          <w:szCs w:val="72"/>
        </w:rPr>
        <w:t>за 20</w:t>
      </w:r>
      <w:r w:rsidR="00BA4307">
        <w:rPr>
          <w:rFonts w:ascii="Times New Roman" w:hAnsi="Times New Roman" w:cs="Times New Roman"/>
          <w:b/>
          <w:color w:val="002060"/>
          <w:sz w:val="72"/>
          <w:szCs w:val="72"/>
        </w:rPr>
        <w:t>20</w:t>
      </w:r>
      <w:r w:rsidRPr="00A4216A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год.</w:t>
      </w:r>
    </w:p>
    <w:p w14:paraId="5476A708" w14:textId="77777777" w:rsidR="00EA7671" w:rsidRDefault="00EA7671" w:rsidP="007E5D78">
      <w:pPr>
        <w:spacing w:after="0" w:line="36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14:paraId="66F2AEAD" w14:textId="77777777" w:rsidR="009272EC" w:rsidRDefault="009272EC" w:rsidP="007E5D78">
      <w:pPr>
        <w:spacing w:after="0" w:line="36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14:paraId="07241BB6" w14:textId="77777777" w:rsidR="009272EC" w:rsidRDefault="009272EC" w:rsidP="007E5D78">
      <w:pPr>
        <w:spacing w:after="0" w:line="36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14:paraId="0F47C812" w14:textId="77777777" w:rsidR="00AB0F2E" w:rsidRDefault="00AB0F2E" w:rsidP="007E5D78">
      <w:pPr>
        <w:spacing w:after="0" w:line="36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14:paraId="71C45EFB" w14:textId="77777777" w:rsidR="00AB0F2E" w:rsidRDefault="00AB0F2E" w:rsidP="007E5D78">
      <w:pPr>
        <w:spacing w:after="0" w:line="36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14:paraId="157CB527" w14:textId="77777777" w:rsidR="00AB0F2E" w:rsidRDefault="00AB0F2E" w:rsidP="007E5D78">
      <w:pPr>
        <w:spacing w:after="0" w:line="36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14:paraId="6C3E5748" w14:textId="77777777" w:rsidR="00AB0F2E" w:rsidRPr="00A4216A" w:rsidRDefault="00AB0F2E" w:rsidP="007E5D78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4"/>
          <w:szCs w:val="34"/>
        </w:rPr>
      </w:pPr>
    </w:p>
    <w:p w14:paraId="2EA75540" w14:textId="77777777" w:rsidR="009272EC" w:rsidRPr="00A4216A" w:rsidRDefault="009272EC" w:rsidP="007E5D78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A4216A">
        <w:rPr>
          <w:rFonts w:ascii="Times New Roman" w:hAnsi="Times New Roman" w:cs="Times New Roman"/>
          <w:color w:val="002060"/>
          <w:sz w:val="32"/>
          <w:szCs w:val="32"/>
        </w:rPr>
        <w:t>п.Добринка</w:t>
      </w:r>
    </w:p>
    <w:p w14:paraId="647E47E6" w14:textId="4AD4ECEF" w:rsidR="00EA7671" w:rsidRDefault="009F6BCC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lastRenderedPageBreak/>
        <w:t xml:space="preserve">Отчет о деятельности </w:t>
      </w:r>
      <w:r w:rsidR="00C61517" w:rsidRPr="008417BF">
        <w:rPr>
          <w:rFonts w:ascii="Times New Roman" w:hAnsi="Times New Roman" w:cs="Times New Roman"/>
          <w:sz w:val="34"/>
          <w:szCs w:val="34"/>
        </w:rPr>
        <w:t>Контрольно-счетн</w:t>
      </w:r>
      <w:r>
        <w:rPr>
          <w:rFonts w:ascii="Times New Roman" w:hAnsi="Times New Roman" w:cs="Times New Roman"/>
          <w:sz w:val="34"/>
          <w:szCs w:val="34"/>
        </w:rPr>
        <w:t>ой</w:t>
      </w:r>
      <w:r w:rsidR="00C61517" w:rsidRPr="008417BF">
        <w:rPr>
          <w:rFonts w:ascii="Times New Roman" w:hAnsi="Times New Roman" w:cs="Times New Roman"/>
          <w:sz w:val="34"/>
          <w:szCs w:val="34"/>
        </w:rPr>
        <w:t xml:space="preserve"> комисси</w:t>
      </w:r>
      <w:r>
        <w:rPr>
          <w:rFonts w:ascii="Times New Roman" w:hAnsi="Times New Roman" w:cs="Times New Roman"/>
          <w:sz w:val="34"/>
          <w:szCs w:val="34"/>
        </w:rPr>
        <w:t>и</w:t>
      </w:r>
      <w:r w:rsidR="00C61517" w:rsidRPr="008417BF">
        <w:rPr>
          <w:rFonts w:ascii="Times New Roman" w:hAnsi="Times New Roman" w:cs="Times New Roman"/>
          <w:sz w:val="34"/>
          <w:szCs w:val="34"/>
        </w:rPr>
        <w:t xml:space="preserve"> Добринского муниципального района</w:t>
      </w:r>
      <w:r>
        <w:rPr>
          <w:rFonts w:ascii="Times New Roman" w:hAnsi="Times New Roman" w:cs="Times New Roman"/>
          <w:sz w:val="34"/>
          <w:szCs w:val="34"/>
        </w:rPr>
        <w:t xml:space="preserve"> (далее – КСК) за </w:t>
      </w:r>
      <w:r w:rsidR="00C61517" w:rsidRPr="008417BF">
        <w:rPr>
          <w:rFonts w:ascii="Times New Roman" w:hAnsi="Times New Roman" w:cs="Times New Roman"/>
          <w:sz w:val="34"/>
          <w:szCs w:val="34"/>
        </w:rPr>
        <w:t>20</w:t>
      </w:r>
      <w:r w:rsidR="00C901D9">
        <w:rPr>
          <w:rFonts w:ascii="Times New Roman" w:hAnsi="Times New Roman" w:cs="Times New Roman"/>
          <w:sz w:val="34"/>
          <w:szCs w:val="34"/>
        </w:rPr>
        <w:t>20</w:t>
      </w:r>
      <w:r w:rsidR="00C61517" w:rsidRPr="008417BF">
        <w:rPr>
          <w:rFonts w:ascii="Times New Roman" w:hAnsi="Times New Roman" w:cs="Times New Roman"/>
          <w:sz w:val="34"/>
          <w:szCs w:val="34"/>
        </w:rPr>
        <w:t xml:space="preserve"> год</w:t>
      </w:r>
      <w:r>
        <w:rPr>
          <w:rFonts w:ascii="Times New Roman" w:hAnsi="Times New Roman" w:cs="Times New Roman"/>
          <w:sz w:val="34"/>
          <w:szCs w:val="34"/>
        </w:rPr>
        <w:t xml:space="preserve"> подготовлен в соответствии </w:t>
      </w:r>
      <w:r w:rsidR="00EA7671" w:rsidRPr="008417BF">
        <w:rPr>
          <w:rFonts w:ascii="Times New Roman" w:hAnsi="Times New Roman" w:cs="Times New Roman"/>
          <w:sz w:val="34"/>
          <w:szCs w:val="34"/>
        </w:rPr>
        <w:t xml:space="preserve">с требованиями </w:t>
      </w:r>
      <w:r>
        <w:rPr>
          <w:rFonts w:ascii="Times New Roman" w:hAnsi="Times New Roman" w:cs="Times New Roman"/>
          <w:sz w:val="34"/>
          <w:szCs w:val="34"/>
        </w:rPr>
        <w:t xml:space="preserve">статьи 19 </w:t>
      </w:r>
      <w:r w:rsidR="00EA7671" w:rsidRPr="008417BF">
        <w:rPr>
          <w:rFonts w:ascii="Times New Roman" w:hAnsi="Times New Roman" w:cs="Times New Roman"/>
          <w:sz w:val="34"/>
          <w:szCs w:val="34"/>
        </w:rPr>
        <w:t>Федерального закона 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34"/>
          <w:szCs w:val="34"/>
        </w:rPr>
        <w:t>,</w:t>
      </w:r>
      <w:r w:rsidR="00EA7671" w:rsidRPr="008417BF">
        <w:rPr>
          <w:rFonts w:ascii="Times New Roman" w:hAnsi="Times New Roman" w:cs="Times New Roman"/>
          <w:sz w:val="34"/>
          <w:szCs w:val="34"/>
        </w:rPr>
        <w:t xml:space="preserve"> статьи 14 Положения «О Контрольно-счетной комиссии Добринского муниципального района Липецкой области», утвержденного решением Совета депутатов от 10.02.2017г. №132-рс.</w:t>
      </w:r>
    </w:p>
    <w:p w14:paraId="5B991F9D" w14:textId="77777777" w:rsidR="009F6BCC" w:rsidRDefault="008040D5" w:rsidP="00511A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Общая характеристика деятельности Контрольно-счетной комиссии Добринского муниципального района</w:t>
      </w:r>
      <w:r w:rsidR="0051684B">
        <w:rPr>
          <w:rFonts w:ascii="Times New Roman" w:hAnsi="Times New Roman" w:cs="Times New Roman"/>
          <w:b/>
          <w:sz w:val="34"/>
          <w:szCs w:val="34"/>
        </w:rPr>
        <w:t>.</w:t>
      </w:r>
    </w:p>
    <w:p w14:paraId="1C5EBACE" w14:textId="290A9CDE" w:rsidR="00336E7F" w:rsidRDefault="00336E7F" w:rsidP="00511AB4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КСК</w:t>
      </w:r>
      <w:r w:rsidR="002738C0">
        <w:rPr>
          <w:rFonts w:ascii="Times New Roman" w:hAnsi="Times New Roman" w:cs="Times New Roman"/>
          <w:sz w:val="34"/>
          <w:szCs w:val="34"/>
        </w:rPr>
        <w:t xml:space="preserve">, как действующий </w:t>
      </w:r>
      <w:r w:rsidR="008040D5">
        <w:rPr>
          <w:rFonts w:ascii="Times New Roman" w:hAnsi="Times New Roman" w:cs="Times New Roman"/>
          <w:sz w:val="34"/>
          <w:szCs w:val="34"/>
        </w:rPr>
        <w:t>орган внешнего муниципального финансового контроля</w:t>
      </w:r>
      <w:r w:rsidR="002738C0">
        <w:rPr>
          <w:rFonts w:ascii="Times New Roman" w:hAnsi="Times New Roman" w:cs="Times New Roman"/>
          <w:sz w:val="34"/>
          <w:szCs w:val="34"/>
        </w:rPr>
        <w:t xml:space="preserve"> Добринского муниципального района</w:t>
      </w:r>
      <w:r w:rsidR="008040D5">
        <w:rPr>
          <w:rFonts w:ascii="Times New Roman" w:hAnsi="Times New Roman" w:cs="Times New Roman"/>
          <w:sz w:val="34"/>
          <w:szCs w:val="34"/>
        </w:rPr>
        <w:t xml:space="preserve">, </w:t>
      </w:r>
      <w:r w:rsidR="002738C0">
        <w:rPr>
          <w:rFonts w:ascii="Times New Roman" w:hAnsi="Times New Roman" w:cs="Times New Roman"/>
          <w:sz w:val="34"/>
          <w:szCs w:val="34"/>
        </w:rPr>
        <w:t>в отчетном периоде осуществляла свою деятельность в соответствии с Планом работы на 2020 год, утвержденным распоряжением от 26.12.2019 года №30-р</w:t>
      </w:r>
      <w:r>
        <w:rPr>
          <w:rFonts w:ascii="Times New Roman" w:hAnsi="Times New Roman" w:cs="Times New Roman"/>
          <w:sz w:val="34"/>
          <w:szCs w:val="34"/>
        </w:rPr>
        <w:t>.</w:t>
      </w:r>
    </w:p>
    <w:p w14:paraId="1730AAF2" w14:textId="3A86EBD7" w:rsidR="002738C0" w:rsidRDefault="002738C0" w:rsidP="00336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Планом на 2020 год</w:t>
      </w:r>
      <w:r w:rsidR="003D19FD">
        <w:rPr>
          <w:rFonts w:ascii="Times New Roman" w:hAnsi="Times New Roman" w:cs="Times New Roman"/>
          <w:sz w:val="34"/>
          <w:szCs w:val="34"/>
        </w:rPr>
        <w:t xml:space="preserve"> было предусмотрено выполнение </w:t>
      </w:r>
      <w:r w:rsidR="00CD1B3D">
        <w:rPr>
          <w:rFonts w:ascii="Times New Roman" w:hAnsi="Times New Roman" w:cs="Times New Roman"/>
          <w:sz w:val="34"/>
          <w:szCs w:val="34"/>
        </w:rPr>
        <w:t>6</w:t>
      </w:r>
      <w:r w:rsidR="00DF763B">
        <w:rPr>
          <w:rFonts w:ascii="Times New Roman" w:hAnsi="Times New Roman" w:cs="Times New Roman"/>
          <w:sz w:val="34"/>
          <w:szCs w:val="34"/>
        </w:rPr>
        <w:t>6</w:t>
      </w:r>
      <w:r w:rsidR="00CD1B3D">
        <w:rPr>
          <w:rFonts w:ascii="Times New Roman" w:hAnsi="Times New Roman" w:cs="Times New Roman"/>
          <w:sz w:val="34"/>
          <w:szCs w:val="34"/>
        </w:rPr>
        <w:t xml:space="preserve"> мероприяти</w:t>
      </w:r>
      <w:r w:rsidR="001D65A3">
        <w:rPr>
          <w:rFonts w:ascii="Times New Roman" w:hAnsi="Times New Roman" w:cs="Times New Roman"/>
          <w:sz w:val="34"/>
          <w:szCs w:val="34"/>
        </w:rPr>
        <w:t>й</w:t>
      </w:r>
      <w:r w:rsidR="00CD1B3D">
        <w:rPr>
          <w:rFonts w:ascii="Times New Roman" w:hAnsi="Times New Roman" w:cs="Times New Roman"/>
          <w:sz w:val="34"/>
          <w:szCs w:val="34"/>
        </w:rPr>
        <w:t xml:space="preserve"> по направлениям деятельности КСК в том числе: контрольная – 2</w:t>
      </w:r>
      <w:r w:rsidR="00DF763B">
        <w:rPr>
          <w:rFonts w:ascii="Times New Roman" w:hAnsi="Times New Roman" w:cs="Times New Roman"/>
          <w:sz w:val="34"/>
          <w:szCs w:val="34"/>
        </w:rPr>
        <w:t>7</w:t>
      </w:r>
      <w:r w:rsidR="00CD1B3D">
        <w:rPr>
          <w:rFonts w:ascii="Times New Roman" w:hAnsi="Times New Roman" w:cs="Times New Roman"/>
          <w:sz w:val="34"/>
          <w:szCs w:val="34"/>
        </w:rPr>
        <w:t xml:space="preserve"> и экспертно-аналитическая 39.</w:t>
      </w:r>
    </w:p>
    <w:p w14:paraId="317B425B" w14:textId="0379D6A5" w:rsidR="00CD1B3D" w:rsidRDefault="00CD1B3D" w:rsidP="00336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В связи с тем, что одним из важных направлений в деятельности КСК является контроль за законностью, результативностью (эффективностью и экономностью) использования средств районного бюджета, в течение года в План работы вносились изменения и дополнения, в </w:t>
      </w:r>
      <w:r>
        <w:rPr>
          <w:rFonts w:ascii="Times New Roman" w:hAnsi="Times New Roman" w:cs="Times New Roman"/>
          <w:sz w:val="34"/>
          <w:szCs w:val="34"/>
        </w:rPr>
        <w:lastRenderedPageBreak/>
        <w:t>соответствии с которыми количество контрольных мероприятий увеличилось до 2</w:t>
      </w:r>
      <w:r w:rsidR="00DF763B">
        <w:rPr>
          <w:rFonts w:ascii="Times New Roman" w:hAnsi="Times New Roman" w:cs="Times New Roman"/>
          <w:sz w:val="34"/>
          <w:szCs w:val="34"/>
        </w:rPr>
        <w:t>8</w:t>
      </w:r>
      <w:r>
        <w:rPr>
          <w:rFonts w:ascii="Times New Roman" w:hAnsi="Times New Roman" w:cs="Times New Roman"/>
          <w:sz w:val="34"/>
          <w:szCs w:val="34"/>
        </w:rPr>
        <w:t>.</w:t>
      </w:r>
    </w:p>
    <w:p w14:paraId="71D7E2BD" w14:textId="1D24CA60" w:rsidR="00CD1B3D" w:rsidRDefault="00CD1B3D" w:rsidP="00336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План работы отчетного года выполнен в полном объеме и в установленные сроки.</w:t>
      </w:r>
    </w:p>
    <w:p w14:paraId="27749696" w14:textId="1675597C" w:rsidR="00511AB4" w:rsidRDefault="00511AB4" w:rsidP="00336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Учитывая современные требования, предъявляемые к внешнему финансовому контролю, КСК ориентируется не только на оценку законности расходования бюджетных средств, но и на анализ эффективности использования муниципального имущества и финансовых ресурсов. Вопросы эффективности использования бюджетных средств и муниципального имущества исследуются практически в ходе каждой проверки.</w:t>
      </w:r>
    </w:p>
    <w:p w14:paraId="26C69CB6" w14:textId="53FDCAB8" w:rsidR="00417168" w:rsidRDefault="00511AB4" w:rsidP="00417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В отчетном периоде проверкой охвачены 26 объектов</w:t>
      </w:r>
      <w:r w:rsidR="005A105A">
        <w:rPr>
          <w:rFonts w:ascii="Times New Roman" w:hAnsi="Times New Roman" w:cs="Times New Roman"/>
          <w:sz w:val="34"/>
          <w:szCs w:val="34"/>
        </w:rPr>
        <w:t xml:space="preserve">, составлены и подписаны 28 актов проверки. </w:t>
      </w:r>
      <w:r w:rsidR="00417168">
        <w:rPr>
          <w:rFonts w:ascii="Times New Roman" w:hAnsi="Times New Roman" w:cs="Times New Roman"/>
          <w:sz w:val="34"/>
          <w:szCs w:val="34"/>
        </w:rPr>
        <w:t>Основная доля контрольных и аналитических мероприятий проводилась в органах местного самоуправления сельских поселений.</w:t>
      </w:r>
    </w:p>
    <w:p w14:paraId="2C76C5AA" w14:textId="77777777" w:rsidR="00417168" w:rsidRDefault="00417168" w:rsidP="00417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Структура объектов контроля представлена следующим образом:</w:t>
      </w:r>
    </w:p>
    <w:p w14:paraId="6389D28A" w14:textId="77777777" w:rsidR="00417168" w:rsidRPr="008417BF" w:rsidRDefault="00417168" w:rsidP="00417168">
      <w:pPr>
        <w:spacing w:after="0" w:line="360" w:lineRule="auto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noProof/>
          <w:sz w:val="34"/>
          <w:szCs w:val="34"/>
        </w:rPr>
        <w:drawing>
          <wp:inline distT="0" distB="0" distL="0" distR="0" wp14:anchorId="4560CCA9" wp14:editId="05AF72C2">
            <wp:extent cx="5932170" cy="2359152"/>
            <wp:effectExtent l="0" t="0" r="11430" b="31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95ED26C" w14:textId="0EDDC728" w:rsidR="00C61517" w:rsidRDefault="00511AB4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lastRenderedPageBreak/>
        <w:t xml:space="preserve">Всего </w:t>
      </w:r>
      <w:r w:rsidR="00C02A82">
        <w:rPr>
          <w:rFonts w:ascii="Times New Roman" w:hAnsi="Times New Roman" w:cs="Times New Roman"/>
          <w:sz w:val="34"/>
          <w:szCs w:val="34"/>
        </w:rPr>
        <w:t>в</w:t>
      </w:r>
      <w:r w:rsidR="00C61517" w:rsidRPr="008417BF">
        <w:rPr>
          <w:rFonts w:ascii="Times New Roman" w:hAnsi="Times New Roman" w:cs="Times New Roman"/>
          <w:sz w:val="34"/>
          <w:szCs w:val="34"/>
        </w:rPr>
        <w:t xml:space="preserve"> 20</w:t>
      </w:r>
      <w:r w:rsidR="006C27EB">
        <w:rPr>
          <w:rFonts w:ascii="Times New Roman" w:hAnsi="Times New Roman" w:cs="Times New Roman"/>
          <w:sz w:val="34"/>
          <w:szCs w:val="34"/>
        </w:rPr>
        <w:t>20</w:t>
      </w:r>
      <w:r w:rsidR="00C61517" w:rsidRPr="008417BF">
        <w:rPr>
          <w:rFonts w:ascii="Times New Roman" w:hAnsi="Times New Roman" w:cs="Times New Roman"/>
          <w:sz w:val="34"/>
          <w:szCs w:val="34"/>
        </w:rPr>
        <w:t xml:space="preserve"> год</w:t>
      </w:r>
      <w:r w:rsidR="00C02A82">
        <w:rPr>
          <w:rFonts w:ascii="Times New Roman" w:hAnsi="Times New Roman" w:cs="Times New Roman"/>
          <w:sz w:val="34"/>
          <w:szCs w:val="34"/>
        </w:rPr>
        <w:t>у</w:t>
      </w:r>
      <w:r w:rsidR="00C61517" w:rsidRPr="008417BF">
        <w:rPr>
          <w:rFonts w:ascii="Times New Roman" w:hAnsi="Times New Roman" w:cs="Times New Roman"/>
          <w:sz w:val="34"/>
          <w:szCs w:val="34"/>
        </w:rPr>
        <w:t xml:space="preserve"> </w:t>
      </w:r>
      <w:r>
        <w:rPr>
          <w:rFonts w:ascii="Times New Roman" w:hAnsi="Times New Roman" w:cs="Times New Roman"/>
          <w:sz w:val="34"/>
          <w:szCs w:val="34"/>
        </w:rPr>
        <w:t xml:space="preserve">в ходе осуществления внешнего муниципального финансового контроля </w:t>
      </w:r>
      <w:r w:rsidR="00C61517" w:rsidRPr="008417BF">
        <w:rPr>
          <w:rFonts w:ascii="Times New Roman" w:hAnsi="Times New Roman" w:cs="Times New Roman"/>
          <w:sz w:val="34"/>
          <w:szCs w:val="34"/>
        </w:rPr>
        <w:t xml:space="preserve">проведено </w:t>
      </w:r>
      <w:r w:rsidR="004839F0">
        <w:rPr>
          <w:rFonts w:ascii="Times New Roman" w:hAnsi="Times New Roman" w:cs="Times New Roman"/>
          <w:sz w:val="34"/>
          <w:szCs w:val="34"/>
        </w:rPr>
        <w:t>4</w:t>
      </w:r>
      <w:r w:rsidR="009102BE">
        <w:rPr>
          <w:rFonts w:ascii="Times New Roman" w:hAnsi="Times New Roman" w:cs="Times New Roman"/>
          <w:sz w:val="34"/>
          <w:szCs w:val="34"/>
        </w:rPr>
        <w:t>9</w:t>
      </w:r>
      <w:r w:rsidR="00147262">
        <w:rPr>
          <w:rFonts w:ascii="Times New Roman" w:hAnsi="Times New Roman" w:cs="Times New Roman"/>
          <w:sz w:val="34"/>
          <w:szCs w:val="34"/>
        </w:rPr>
        <w:t xml:space="preserve"> контрольных и </w:t>
      </w:r>
      <w:r w:rsidR="0044630A">
        <w:rPr>
          <w:rFonts w:ascii="Times New Roman" w:hAnsi="Times New Roman" w:cs="Times New Roman"/>
          <w:sz w:val="34"/>
          <w:szCs w:val="34"/>
        </w:rPr>
        <w:t>экспертно-аналитических мероприятий,</w:t>
      </w:r>
      <w:r w:rsidR="007F45D0" w:rsidRPr="007F45D0">
        <w:rPr>
          <w:rFonts w:ascii="Times New Roman" w:hAnsi="Times New Roman" w:cs="Times New Roman"/>
          <w:sz w:val="34"/>
          <w:szCs w:val="34"/>
        </w:rPr>
        <w:t xml:space="preserve"> </w:t>
      </w:r>
      <w:r w:rsidR="007F45D0">
        <w:rPr>
          <w:rFonts w:ascii="Times New Roman" w:hAnsi="Times New Roman" w:cs="Times New Roman"/>
          <w:sz w:val="34"/>
          <w:szCs w:val="34"/>
        </w:rPr>
        <w:t xml:space="preserve">и </w:t>
      </w:r>
      <w:r w:rsidR="005F139D">
        <w:rPr>
          <w:rFonts w:ascii="Times New Roman" w:hAnsi="Times New Roman" w:cs="Times New Roman"/>
          <w:sz w:val="34"/>
          <w:szCs w:val="34"/>
        </w:rPr>
        <w:t>80</w:t>
      </w:r>
      <w:r w:rsidR="007F45D0">
        <w:rPr>
          <w:rFonts w:ascii="Times New Roman" w:hAnsi="Times New Roman" w:cs="Times New Roman"/>
          <w:sz w:val="34"/>
          <w:szCs w:val="34"/>
        </w:rPr>
        <w:t xml:space="preserve"> экспертиз проектов нормативных правовых актов.</w:t>
      </w:r>
    </w:p>
    <w:p w14:paraId="05BB4E5B" w14:textId="77777777" w:rsidR="00125789" w:rsidRDefault="001D4C0B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Основные результаты деятельности КСК отражены в таблице:</w:t>
      </w: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777"/>
        <w:gridCol w:w="5455"/>
        <w:gridCol w:w="1542"/>
        <w:gridCol w:w="1435"/>
      </w:tblGrid>
      <w:tr w:rsidR="001D4C0B" w:rsidRPr="0044630A" w14:paraId="3F0085B4" w14:textId="77777777" w:rsidTr="003430C9">
        <w:trPr>
          <w:trHeight w:val="870"/>
        </w:trPr>
        <w:tc>
          <w:tcPr>
            <w:tcW w:w="777" w:type="dxa"/>
            <w:shd w:val="clear" w:color="auto" w:fill="BDD6EE" w:themeFill="accent5" w:themeFillTint="66"/>
          </w:tcPr>
          <w:p w14:paraId="7DB9B9B8" w14:textId="77777777" w:rsidR="001D4C0B" w:rsidRPr="0044630A" w:rsidRDefault="001D4C0B" w:rsidP="001D4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30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455" w:type="dxa"/>
            <w:shd w:val="clear" w:color="auto" w:fill="BDD6EE" w:themeFill="accent5" w:themeFillTint="66"/>
          </w:tcPr>
          <w:p w14:paraId="5916BEAE" w14:textId="77777777" w:rsidR="001D4C0B" w:rsidRPr="0044630A" w:rsidRDefault="001D4C0B" w:rsidP="001D4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30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7" w:type="dxa"/>
            <w:gridSpan w:val="2"/>
            <w:shd w:val="clear" w:color="auto" w:fill="BDD6EE" w:themeFill="accent5" w:themeFillTint="66"/>
          </w:tcPr>
          <w:p w14:paraId="589DF658" w14:textId="4321EBAF" w:rsidR="001D4C0B" w:rsidRPr="0044630A" w:rsidRDefault="001D4C0B" w:rsidP="001D4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3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</w:t>
            </w:r>
            <w:r w:rsidR="0044630A" w:rsidRPr="0044630A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показателя</w:t>
            </w:r>
          </w:p>
        </w:tc>
      </w:tr>
      <w:tr w:rsidR="001D4C0B" w:rsidRPr="0044630A" w14:paraId="720F3B2E" w14:textId="77777777" w:rsidTr="003430C9">
        <w:trPr>
          <w:trHeight w:val="1124"/>
        </w:trPr>
        <w:tc>
          <w:tcPr>
            <w:tcW w:w="777" w:type="dxa"/>
            <w:shd w:val="clear" w:color="auto" w:fill="DEEAF6" w:themeFill="accent5" w:themeFillTint="33"/>
          </w:tcPr>
          <w:p w14:paraId="12162E46" w14:textId="77777777" w:rsidR="001D4C0B" w:rsidRPr="0044630A" w:rsidRDefault="001D4C0B" w:rsidP="001D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3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55" w:type="dxa"/>
            <w:shd w:val="clear" w:color="auto" w:fill="DEEAF6" w:themeFill="accent5" w:themeFillTint="33"/>
          </w:tcPr>
          <w:p w14:paraId="77F9EBC6" w14:textId="77777777" w:rsidR="001D4C0B" w:rsidRPr="0044630A" w:rsidRDefault="001D4C0B" w:rsidP="001D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30A">
              <w:rPr>
                <w:rFonts w:ascii="Times New Roman" w:hAnsi="Times New Roman" w:cs="Times New Roman"/>
                <w:sz w:val="28"/>
                <w:szCs w:val="28"/>
              </w:rPr>
              <w:t>Проведено контрольных и экспертно-аналитических мероприятий всего,</w:t>
            </w:r>
          </w:p>
          <w:p w14:paraId="49D6FB8C" w14:textId="77777777" w:rsidR="001D4C0B" w:rsidRPr="0044630A" w:rsidRDefault="001D4C0B" w:rsidP="001D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30A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977" w:type="dxa"/>
            <w:gridSpan w:val="2"/>
            <w:shd w:val="clear" w:color="auto" w:fill="DEEAF6" w:themeFill="accent5" w:themeFillTint="33"/>
          </w:tcPr>
          <w:p w14:paraId="577D03FF" w14:textId="77777777" w:rsidR="001D4C0B" w:rsidRPr="0044630A" w:rsidRDefault="001D4C0B" w:rsidP="001D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02BE" w:rsidRPr="004463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D4C0B" w:rsidRPr="0044630A" w14:paraId="31594B3D" w14:textId="77777777" w:rsidTr="003430C9">
        <w:trPr>
          <w:trHeight w:val="417"/>
        </w:trPr>
        <w:tc>
          <w:tcPr>
            <w:tcW w:w="777" w:type="dxa"/>
          </w:tcPr>
          <w:p w14:paraId="4D5E42FB" w14:textId="77777777" w:rsidR="001D4C0B" w:rsidRPr="0044630A" w:rsidRDefault="001D4C0B" w:rsidP="001D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30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455" w:type="dxa"/>
          </w:tcPr>
          <w:p w14:paraId="343C66FC" w14:textId="77777777" w:rsidR="001D4C0B" w:rsidRPr="0044630A" w:rsidRDefault="001D4C0B" w:rsidP="001D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30A">
              <w:rPr>
                <w:rFonts w:ascii="Times New Roman" w:hAnsi="Times New Roman" w:cs="Times New Roman"/>
                <w:sz w:val="28"/>
                <w:szCs w:val="28"/>
              </w:rPr>
              <w:t>контрольных мероприятий</w:t>
            </w:r>
          </w:p>
        </w:tc>
        <w:tc>
          <w:tcPr>
            <w:tcW w:w="2977" w:type="dxa"/>
            <w:gridSpan w:val="2"/>
          </w:tcPr>
          <w:p w14:paraId="0C47962F" w14:textId="4BAF0DF6" w:rsidR="001D4C0B" w:rsidRPr="0044630A" w:rsidRDefault="001D4C0B" w:rsidP="001D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27EB" w:rsidRPr="004463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4C0B" w:rsidRPr="0044630A" w14:paraId="74D05D22" w14:textId="77777777" w:rsidTr="003430C9">
        <w:trPr>
          <w:trHeight w:val="1118"/>
        </w:trPr>
        <w:tc>
          <w:tcPr>
            <w:tcW w:w="777" w:type="dxa"/>
          </w:tcPr>
          <w:p w14:paraId="49A8258C" w14:textId="77777777" w:rsidR="001D4C0B" w:rsidRPr="0044630A" w:rsidRDefault="001D4C0B" w:rsidP="001D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30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455" w:type="dxa"/>
          </w:tcPr>
          <w:p w14:paraId="52B54326" w14:textId="360FC7E7" w:rsidR="001D4C0B" w:rsidRPr="0044630A" w:rsidRDefault="0044630A" w:rsidP="001D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1D4C0B" w:rsidRPr="0044630A">
              <w:rPr>
                <w:rFonts w:ascii="Times New Roman" w:hAnsi="Times New Roman" w:cs="Times New Roman"/>
                <w:sz w:val="28"/>
                <w:szCs w:val="28"/>
              </w:rPr>
              <w:t>кспертно-аналитических мероприятий (за исключением экспертиз проектов нормативных правовых актов)</w:t>
            </w:r>
          </w:p>
        </w:tc>
        <w:tc>
          <w:tcPr>
            <w:tcW w:w="2977" w:type="dxa"/>
            <w:gridSpan w:val="2"/>
          </w:tcPr>
          <w:p w14:paraId="0EDDFA19" w14:textId="3C1B931D" w:rsidR="001D4C0B" w:rsidRPr="0044630A" w:rsidRDefault="001D4C0B" w:rsidP="001D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27EB" w:rsidRPr="00446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4C0B" w:rsidRPr="0044630A" w14:paraId="65F57520" w14:textId="77777777" w:rsidTr="003430C9">
        <w:trPr>
          <w:trHeight w:val="837"/>
        </w:trPr>
        <w:tc>
          <w:tcPr>
            <w:tcW w:w="777" w:type="dxa"/>
            <w:shd w:val="clear" w:color="auto" w:fill="DEEAF6" w:themeFill="accent5" w:themeFillTint="33"/>
          </w:tcPr>
          <w:p w14:paraId="7891C933" w14:textId="77777777" w:rsidR="001D4C0B" w:rsidRPr="0044630A" w:rsidRDefault="001D4C0B" w:rsidP="001D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3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55" w:type="dxa"/>
            <w:shd w:val="clear" w:color="auto" w:fill="DEEAF6" w:themeFill="accent5" w:themeFillTint="33"/>
          </w:tcPr>
          <w:p w14:paraId="0BE0A071" w14:textId="77777777" w:rsidR="001D4C0B" w:rsidRPr="0044630A" w:rsidRDefault="001D4C0B" w:rsidP="001D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30A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экспертиз проектов нормативных правовых актов</w:t>
            </w:r>
          </w:p>
        </w:tc>
        <w:tc>
          <w:tcPr>
            <w:tcW w:w="2977" w:type="dxa"/>
            <w:gridSpan w:val="2"/>
            <w:shd w:val="clear" w:color="auto" w:fill="DEEAF6" w:themeFill="accent5" w:themeFillTint="33"/>
          </w:tcPr>
          <w:p w14:paraId="4377CCB8" w14:textId="20EB31BE" w:rsidR="001D4C0B" w:rsidRPr="0044630A" w:rsidRDefault="006C27EB" w:rsidP="001D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44630A" w:rsidRPr="0044630A" w14:paraId="63AB05F5" w14:textId="77777777" w:rsidTr="003430C9">
        <w:trPr>
          <w:trHeight w:val="1415"/>
        </w:trPr>
        <w:tc>
          <w:tcPr>
            <w:tcW w:w="777" w:type="dxa"/>
            <w:shd w:val="clear" w:color="auto" w:fill="DEEAF6" w:themeFill="accent5" w:themeFillTint="33"/>
          </w:tcPr>
          <w:p w14:paraId="56CB05E3" w14:textId="1912EFC9" w:rsidR="0044630A" w:rsidRPr="0044630A" w:rsidRDefault="0044630A" w:rsidP="001D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55" w:type="dxa"/>
            <w:shd w:val="clear" w:color="auto" w:fill="DEEAF6" w:themeFill="accent5" w:themeFillTint="33"/>
          </w:tcPr>
          <w:p w14:paraId="3254CD78" w14:textId="77777777" w:rsidR="0044630A" w:rsidRDefault="0044630A" w:rsidP="001D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объектов проведенных контрольных и экспертно-аналитических мероприятий, всего, </w:t>
            </w:r>
          </w:p>
          <w:p w14:paraId="45ADAD5B" w14:textId="32431741" w:rsidR="0044630A" w:rsidRPr="0044630A" w:rsidRDefault="0044630A" w:rsidP="001D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977" w:type="dxa"/>
            <w:gridSpan w:val="2"/>
            <w:shd w:val="clear" w:color="auto" w:fill="DEEAF6" w:themeFill="accent5" w:themeFillTint="33"/>
          </w:tcPr>
          <w:p w14:paraId="32E0585F" w14:textId="7561BC49" w:rsidR="0044630A" w:rsidRPr="0044630A" w:rsidRDefault="00344C8A" w:rsidP="001D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4630A" w:rsidRPr="0044630A" w14:paraId="69E88811" w14:textId="77777777" w:rsidTr="003430C9">
        <w:trPr>
          <w:trHeight w:val="414"/>
        </w:trPr>
        <w:tc>
          <w:tcPr>
            <w:tcW w:w="777" w:type="dxa"/>
            <w:shd w:val="clear" w:color="auto" w:fill="auto"/>
          </w:tcPr>
          <w:p w14:paraId="7CAC8BD3" w14:textId="559043B9" w:rsidR="0044630A" w:rsidRDefault="0044630A" w:rsidP="001D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455" w:type="dxa"/>
            <w:shd w:val="clear" w:color="auto" w:fill="auto"/>
          </w:tcPr>
          <w:p w14:paraId="027D1611" w14:textId="4BDDB940" w:rsidR="0044630A" w:rsidRDefault="0044630A" w:rsidP="001D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объектов контрольных мероприятий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3C439C2" w14:textId="58D516B7" w:rsidR="0044630A" w:rsidRPr="0044630A" w:rsidRDefault="00344C8A" w:rsidP="001D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4630A" w:rsidRPr="0044630A" w14:paraId="48F52C72" w14:textId="77777777" w:rsidTr="003430C9">
        <w:trPr>
          <w:trHeight w:val="690"/>
        </w:trPr>
        <w:tc>
          <w:tcPr>
            <w:tcW w:w="777" w:type="dxa"/>
            <w:shd w:val="clear" w:color="auto" w:fill="auto"/>
          </w:tcPr>
          <w:p w14:paraId="12B036B1" w14:textId="58BC4A1F" w:rsidR="0044630A" w:rsidRDefault="00344C8A" w:rsidP="001D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455" w:type="dxa"/>
            <w:shd w:val="clear" w:color="auto" w:fill="auto"/>
          </w:tcPr>
          <w:p w14:paraId="0D2ED2C2" w14:textId="445CC131" w:rsidR="0044630A" w:rsidRDefault="00344C8A" w:rsidP="001D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объектов экспертно-аналитических мероприятий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85827A1" w14:textId="169900AF" w:rsidR="0044630A" w:rsidRPr="0044630A" w:rsidRDefault="00344C8A" w:rsidP="001D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46F00" w:rsidRPr="0044630A" w14:paraId="17BBCC70" w14:textId="77777777" w:rsidTr="003430C9">
        <w:trPr>
          <w:trHeight w:val="1408"/>
        </w:trPr>
        <w:tc>
          <w:tcPr>
            <w:tcW w:w="777" w:type="dxa"/>
            <w:shd w:val="clear" w:color="auto" w:fill="DEEAF6" w:themeFill="accent5" w:themeFillTint="33"/>
          </w:tcPr>
          <w:p w14:paraId="149B3501" w14:textId="131238D7" w:rsidR="00546F00" w:rsidRPr="0044630A" w:rsidRDefault="00344C8A" w:rsidP="001D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740F" w:rsidRPr="004463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5" w:type="dxa"/>
            <w:shd w:val="clear" w:color="auto" w:fill="DEEAF6" w:themeFill="accent5" w:themeFillTint="33"/>
          </w:tcPr>
          <w:p w14:paraId="214D1BD1" w14:textId="77777777" w:rsidR="00546F00" w:rsidRPr="0044630A" w:rsidRDefault="0056740F" w:rsidP="001D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30A">
              <w:rPr>
                <w:rFonts w:ascii="Times New Roman" w:hAnsi="Times New Roman" w:cs="Times New Roman"/>
                <w:sz w:val="28"/>
                <w:szCs w:val="28"/>
              </w:rPr>
              <w:t>Проведено контрольных мероприятий по поручениям, предложениям, запросам и обращениям всего,</w:t>
            </w:r>
          </w:p>
          <w:p w14:paraId="2630DA19" w14:textId="77777777" w:rsidR="0056740F" w:rsidRPr="0044630A" w:rsidRDefault="0056740F" w:rsidP="001D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30A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977" w:type="dxa"/>
            <w:gridSpan w:val="2"/>
            <w:shd w:val="clear" w:color="auto" w:fill="DEEAF6" w:themeFill="accent5" w:themeFillTint="33"/>
          </w:tcPr>
          <w:p w14:paraId="3B2BBB43" w14:textId="2361B36B" w:rsidR="00546F00" w:rsidRPr="0044630A" w:rsidRDefault="006C27EB" w:rsidP="001D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740F" w:rsidRPr="0044630A" w14:paraId="0AD7820C" w14:textId="77777777" w:rsidTr="003430C9">
        <w:trPr>
          <w:trHeight w:val="706"/>
        </w:trPr>
        <w:tc>
          <w:tcPr>
            <w:tcW w:w="777" w:type="dxa"/>
          </w:tcPr>
          <w:p w14:paraId="1A9EA906" w14:textId="5BCB47FA" w:rsidR="0056740F" w:rsidRPr="0044630A" w:rsidRDefault="00344C8A" w:rsidP="001D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740F" w:rsidRPr="0044630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455" w:type="dxa"/>
          </w:tcPr>
          <w:p w14:paraId="53C717D5" w14:textId="77777777" w:rsidR="0056740F" w:rsidRPr="0044630A" w:rsidRDefault="0056740F" w:rsidP="001D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30A">
              <w:rPr>
                <w:rFonts w:ascii="Times New Roman" w:hAnsi="Times New Roman" w:cs="Times New Roman"/>
                <w:sz w:val="28"/>
                <w:szCs w:val="28"/>
              </w:rPr>
              <w:t>поручений Совета депутатов Добринского муниципального района</w:t>
            </w:r>
          </w:p>
        </w:tc>
        <w:tc>
          <w:tcPr>
            <w:tcW w:w="2977" w:type="dxa"/>
            <w:gridSpan w:val="2"/>
          </w:tcPr>
          <w:p w14:paraId="17EA1941" w14:textId="77777777" w:rsidR="0056740F" w:rsidRPr="0044630A" w:rsidRDefault="0056740F" w:rsidP="001D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740F" w:rsidRPr="0044630A" w14:paraId="41AE9A8D" w14:textId="77777777" w:rsidTr="003430C9">
        <w:trPr>
          <w:trHeight w:val="702"/>
        </w:trPr>
        <w:tc>
          <w:tcPr>
            <w:tcW w:w="777" w:type="dxa"/>
          </w:tcPr>
          <w:p w14:paraId="08A4B904" w14:textId="174F6629" w:rsidR="0056740F" w:rsidRPr="0044630A" w:rsidRDefault="00344C8A" w:rsidP="001D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740F" w:rsidRPr="0044630A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455" w:type="dxa"/>
          </w:tcPr>
          <w:p w14:paraId="325A79D6" w14:textId="77777777" w:rsidR="0056740F" w:rsidRPr="0044630A" w:rsidRDefault="0056740F" w:rsidP="001D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30A">
              <w:rPr>
                <w:rFonts w:ascii="Times New Roman" w:hAnsi="Times New Roman" w:cs="Times New Roman"/>
                <w:sz w:val="28"/>
                <w:szCs w:val="28"/>
              </w:rPr>
              <w:t>предложений главы Добринского муниципального района</w:t>
            </w:r>
          </w:p>
        </w:tc>
        <w:tc>
          <w:tcPr>
            <w:tcW w:w="2977" w:type="dxa"/>
            <w:gridSpan w:val="2"/>
          </w:tcPr>
          <w:p w14:paraId="5400E719" w14:textId="33C9BFE5" w:rsidR="0056740F" w:rsidRPr="0044630A" w:rsidRDefault="006C27EB" w:rsidP="001D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740F" w:rsidRPr="0044630A" w14:paraId="5C2007CE" w14:textId="77777777" w:rsidTr="00344C8A">
        <w:tc>
          <w:tcPr>
            <w:tcW w:w="777" w:type="dxa"/>
          </w:tcPr>
          <w:p w14:paraId="626BDF59" w14:textId="41D105E2" w:rsidR="0056740F" w:rsidRPr="0044630A" w:rsidRDefault="00344C8A" w:rsidP="001D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740F" w:rsidRPr="0044630A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455" w:type="dxa"/>
          </w:tcPr>
          <w:p w14:paraId="5F644826" w14:textId="77777777" w:rsidR="0056740F" w:rsidRPr="0044630A" w:rsidRDefault="0056740F" w:rsidP="001D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30A">
              <w:rPr>
                <w:rFonts w:ascii="Times New Roman" w:hAnsi="Times New Roman" w:cs="Times New Roman"/>
                <w:sz w:val="28"/>
                <w:szCs w:val="28"/>
              </w:rPr>
              <w:t>обращений граждан</w:t>
            </w:r>
          </w:p>
        </w:tc>
        <w:tc>
          <w:tcPr>
            <w:tcW w:w="2977" w:type="dxa"/>
            <w:gridSpan w:val="2"/>
          </w:tcPr>
          <w:p w14:paraId="2530CC72" w14:textId="77777777" w:rsidR="0056740F" w:rsidRPr="0044630A" w:rsidRDefault="0056740F" w:rsidP="001D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4C8A" w:rsidRPr="0044630A" w14:paraId="5A997B55" w14:textId="77777777" w:rsidTr="003430C9">
        <w:trPr>
          <w:trHeight w:val="1402"/>
        </w:trPr>
        <w:tc>
          <w:tcPr>
            <w:tcW w:w="777" w:type="dxa"/>
            <w:shd w:val="clear" w:color="auto" w:fill="DEEAF6" w:themeFill="accent5" w:themeFillTint="33"/>
          </w:tcPr>
          <w:p w14:paraId="05F164FA" w14:textId="4E08E4DF" w:rsidR="00344C8A" w:rsidRDefault="00344C8A" w:rsidP="001D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455" w:type="dxa"/>
            <w:shd w:val="clear" w:color="auto" w:fill="DEEAF6" w:themeFill="accent5" w:themeFillTint="33"/>
          </w:tcPr>
          <w:p w14:paraId="380289BA" w14:textId="6FF18B16" w:rsidR="00344C8A" w:rsidRDefault="00344C8A" w:rsidP="001D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совместных и параллельных контрольных и экспертно-аналитических мероприятий, всего,</w:t>
            </w:r>
          </w:p>
          <w:p w14:paraId="18BB6BF1" w14:textId="5BFA03B5" w:rsidR="00344C8A" w:rsidRPr="0044630A" w:rsidRDefault="00344C8A" w:rsidP="001D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977" w:type="dxa"/>
            <w:gridSpan w:val="2"/>
            <w:shd w:val="clear" w:color="auto" w:fill="DEEAF6" w:themeFill="accent5" w:themeFillTint="33"/>
          </w:tcPr>
          <w:p w14:paraId="6928BAF7" w14:textId="2071C414" w:rsidR="00344C8A" w:rsidRPr="0044630A" w:rsidRDefault="00344C8A" w:rsidP="001D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4C8A" w:rsidRPr="0044630A" w14:paraId="3B4A0855" w14:textId="77777777" w:rsidTr="003430C9">
        <w:trPr>
          <w:trHeight w:val="699"/>
        </w:trPr>
        <w:tc>
          <w:tcPr>
            <w:tcW w:w="777" w:type="dxa"/>
            <w:shd w:val="clear" w:color="auto" w:fill="FFFFFF" w:themeFill="background1"/>
          </w:tcPr>
          <w:p w14:paraId="0D4A97B8" w14:textId="6D28AC20" w:rsidR="00344C8A" w:rsidRDefault="00344C8A" w:rsidP="001D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455" w:type="dxa"/>
            <w:shd w:val="clear" w:color="auto" w:fill="FFFFFF" w:themeFill="background1"/>
          </w:tcPr>
          <w:p w14:paraId="01AB3734" w14:textId="1F4BC8E7" w:rsidR="00344C8A" w:rsidRDefault="00344C8A" w:rsidP="001D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Контрольно-счетной палатой Липецкой области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14:paraId="207172B3" w14:textId="3966F952" w:rsidR="00344C8A" w:rsidRDefault="00344C8A" w:rsidP="001D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4C8A" w:rsidRPr="0044630A" w14:paraId="52BBD4E8" w14:textId="77777777" w:rsidTr="003430C9">
        <w:trPr>
          <w:trHeight w:val="1120"/>
        </w:trPr>
        <w:tc>
          <w:tcPr>
            <w:tcW w:w="777" w:type="dxa"/>
            <w:shd w:val="clear" w:color="auto" w:fill="FFFFFF" w:themeFill="background1"/>
          </w:tcPr>
          <w:p w14:paraId="1F8C648A" w14:textId="3C3CB5C9" w:rsidR="00344C8A" w:rsidRDefault="00344C8A" w:rsidP="001D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455" w:type="dxa"/>
            <w:shd w:val="clear" w:color="auto" w:fill="FFFFFF" w:themeFill="background1"/>
          </w:tcPr>
          <w:p w14:paraId="67F9D620" w14:textId="5CDC34F3" w:rsidR="00344C8A" w:rsidRDefault="00344C8A" w:rsidP="001D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органами внутреннего муниципального контроля (Управление финансов администрации муниципального района)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14:paraId="76987B37" w14:textId="46B59C5B" w:rsidR="00344C8A" w:rsidRDefault="00344C8A" w:rsidP="001D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4069" w:rsidRPr="002C4069" w14:paraId="5418167C" w14:textId="77777777" w:rsidTr="00344C8A">
        <w:trPr>
          <w:trHeight w:val="556"/>
        </w:trPr>
        <w:tc>
          <w:tcPr>
            <w:tcW w:w="777" w:type="dxa"/>
            <w:vMerge w:val="restart"/>
            <w:shd w:val="clear" w:color="auto" w:fill="DEEAF6" w:themeFill="accent5" w:themeFillTint="33"/>
          </w:tcPr>
          <w:p w14:paraId="53D8543C" w14:textId="0E7250CC" w:rsidR="0097099D" w:rsidRPr="002C4069" w:rsidRDefault="00344C8A" w:rsidP="001D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0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7099D" w:rsidRPr="002C40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5" w:type="dxa"/>
            <w:vMerge w:val="restart"/>
            <w:shd w:val="clear" w:color="auto" w:fill="DEEAF6" w:themeFill="accent5" w:themeFillTint="33"/>
          </w:tcPr>
          <w:p w14:paraId="21A0D542" w14:textId="77777777" w:rsidR="0097099D" w:rsidRPr="002C4069" w:rsidRDefault="0097099D" w:rsidP="001D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069">
              <w:rPr>
                <w:rFonts w:ascii="Times New Roman" w:hAnsi="Times New Roman" w:cs="Times New Roman"/>
                <w:sz w:val="28"/>
                <w:szCs w:val="28"/>
              </w:rPr>
              <w:t>Всего выявлено нарушений в ходе осуществления внешнего муниципального финансового контроля,</w:t>
            </w:r>
          </w:p>
          <w:p w14:paraId="2D2458F1" w14:textId="03014CF8" w:rsidR="00344C8A" w:rsidRPr="002C4069" w:rsidRDefault="00344C8A" w:rsidP="001D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06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542" w:type="dxa"/>
            <w:shd w:val="clear" w:color="auto" w:fill="DEEAF6" w:themeFill="accent5" w:themeFillTint="33"/>
          </w:tcPr>
          <w:p w14:paraId="6674D28A" w14:textId="77777777" w:rsidR="0097099D" w:rsidRPr="002C4069" w:rsidRDefault="0097099D" w:rsidP="001D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69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35" w:type="dxa"/>
            <w:shd w:val="clear" w:color="auto" w:fill="DEEAF6" w:themeFill="accent5" w:themeFillTint="33"/>
          </w:tcPr>
          <w:p w14:paraId="2ABDF2CB" w14:textId="77777777" w:rsidR="0097099D" w:rsidRPr="002C4069" w:rsidRDefault="0097099D" w:rsidP="001D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6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E364C" w:rsidRPr="009E364C" w14:paraId="2AD49D37" w14:textId="77777777" w:rsidTr="003430C9">
        <w:trPr>
          <w:trHeight w:val="988"/>
        </w:trPr>
        <w:tc>
          <w:tcPr>
            <w:tcW w:w="777" w:type="dxa"/>
            <w:vMerge/>
          </w:tcPr>
          <w:p w14:paraId="3B236A7D" w14:textId="77777777" w:rsidR="0097099D" w:rsidRPr="009E364C" w:rsidRDefault="0097099D" w:rsidP="001D4C0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455" w:type="dxa"/>
            <w:vMerge/>
          </w:tcPr>
          <w:p w14:paraId="58B91646" w14:textId="77777777" w:rsidR="0097099D" w:rsidRPr="009E364C" w:rsidRDefault="0097099D" w:rsidP="001D4C0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42" w:type="dxa"/>
          </w:tcPr>
          <w:p w14:paraId="4F98659A" w14:textId="32F8DAC0" w:rsidR="0097099D" w:rsidRPr="002C4069" w:rsidRDefault="002C4069" w:rsidP="001D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5172,6</w:t>
            </w:r>
          </w:p>
        </w:tc>
        <w:tc>
          <w:tcPr>
            <w:tcW w:w="1435" w:type="dxa"/>
          </w:tcPr>
          <w:p w14:paraId="247EAD8C" w14:textId="0C5C5215" w:rsidR="0097099D" w:rsidRPr="002C4069" w:rsidRDefault="00434CEE" w:rsidP="001D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40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069" w:rsidRPr="002C4069" w14:paraId="2CCCF816" w14:textId="77777777" w:rsidTr="003430C9">
        <w:trPr>
          <w:trHeight w:val="691"/>
        </w:trPr>
        <w:tc>
          <w:tcPr>
            <w:tcW w:w="777" w:type="dxa"/>
          </w:tcPr>
          <w:p w14:paraId="052AA4B4" w14:textId="7E42F55D" w:rsidR="002C4069" w:rsidRPr="002C4069" w:rsidRDefault="002C4069" w:rsidP="00A72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069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455" w:type="dxa"/>
          </w:tcPr>
          <w:p w14:paraId="4FFD4FB4" w14:textId="184BCE9E" w:rsidR="002C4069" w:rsidRPr="002C4069" w:rsidRDefault="002C4069" w:rsidP="00A72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069">
              <w:rPr>
                <w:rFonts w:ascii="Times New Roman" w:hAnsi="Times New Roman" w:cs="Times New Roman"/>
                <w:sz w:val="28"/>
                <w:szCs w:val="28"/>
              </w:rPr>
              <w:t>нарушения при формировании и исполнении бюджетов</w:t>
            </w:r>
          </w:p>
        </w:tc>
        <w:tc>
          <w:tcPr>
            <w:tcW w:w="1542" w:type="dxa"/>
          </w:tcPr>
          <w:p w14:paraId="43E77CB7" w14:textId="473FD5F7" w:rsidR="002C4069" w:rsidRPr="002C4069" w:rsidRDefault="002C4069" w:rsidP="00A72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2406,7</w:t>
            </w:r>
          </w:p>
        </w:tc>
        <w:tc>
          <w:tcPr>
            <w:tcW w:w="1435" w:type="dxa"/>
          </w:tcPr>
          <w:p w14:paraId="22A84788" w14:textId="623EB840" w:rsidR="002C4069" w:rsidRPr="002C4069" w:rsidRDefault="002C4069" w:rsidP="00A72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C4069" w:rsidRPr="002C4069" w14:paraId="4B531A1D" w14:textId="77777777" w:rsidTr="003430C9">
        <w:trPr>
          <w:trHeight w:val="1126"/>
        </w:trPr>
        <w:tc>
          <w:tcPr>
            <w:tcW w:w="777" w:type="dxa"/>
          </w:tcPr>
          <w:p w14:paraId="0B831103" w14:textId="4E084DDD" w:rsidR="002C4069" w:rsidRPr="002C4069" w:rsidRDefault="002C4069" w:rsidP="00A72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455" w:type="dxa"/>
          </w:tcPr>
          <w:p w14:paraId="3E305B35" w14:textId="107F1E07" w:rsidR="002C4069" w:rsidRPr="002C4069" w:rsidRDefault="002C4069" w:rsidP="00A72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542" w:type="dxa"/>
          </w:tcPr>
          <w:p w14:paraId="6027E628" w14:textId="5402A00E" w:rsidR="002C4069" w:rsidRDefault="002C4069" w:rsidP="00A72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2525,2</w:t>
            </w:r>
          </w:p>
        </w:tc>
        <w:tc>
          <w:tcPr>
            <w:tcW w:w="1435" w:type="dxa"/>
          </w:tcPr>
          <w:p w14:paraId="75B56791" w14:textId="03C318EC" w:rsidR="002C4069" w:rsidRDefault="002C4069" w:rsidP="00A72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4069" w:rsidRPr="002C4069" w14:paraId="2727F184" w14:textId="77777777" w:rsidTr="003430C9">
        <w:trPr>
          <w:trHeight w:val="1128"/>
        </w:trPr>
        <w:tc>
          <w:tcPr>
            <w:tcW w:w="777" w:type="dxa"/>
          </w:tcPr>
          <w:p w14:paraId="3554F735" w14:textId="04CB7936" w:rsidR="002C4069" w:rsidRPr="002C4069" w:rsidRDefault="002C4069" w:rsidP="00A72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069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5455" w:type="dxa"/>
          </w:tcPr>
          <w:p w14:paraId="179C771C" w14:textId="41995786" w:rsidR="002C4069" w:rsidRPr="002C4069" w:rsidRDefault="002C4069" w:rsidP="00A72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069">
              <w:rPr>
                <w:rFonts w:ascii="Times New Roman" w:hAnsi="Times New Roman" w:cs="Times New Roman"/>
                <w:sz w:val="28"/>
                <w:szCs w:val="28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1542" w:type="dxa"/>
          </w:tcPr>
          <w:p w14:paraId="68923241" w14:textId="26902AFE" w:rsidR="002C4069" w:rsidRPr="002C4069" w:rsidRDefault="002C4069" w:rsidP="00A72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69">
              <w:rPr>
                <w:rFonts w:ascii="Times New Roman" w:hAnsi="Times New Roman" w:cs="Times New Roman"/>
                <w:sz w:val="28"/>
                <w:szCs w:val="28"/>
              </w:rPr>
              <w:t>133,3</w:t>
            </w:r>
          </w:p>
        </w:tc>
        <w:tc>
          <w:tcPr>
            <w:tcW w:w="1435" w:type="dxa"/>
          </w:tcPr>
          <w:p w14:paraId="4B9ED396" w14:textId="15881CD8" w:rsidR="002C4069" w:rsidRPr="002C4069" w:rsidRDefault="002C4069" w:rsidP="00A72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069" w:rsidRPr="002C4069" w14:paraId="33B60348" w14:textId="77777777" w:rsidTr="003430C9">
        <w:trPr>
          <w:trHeight w:val="421"/>
        </w:trPr>
        <w:tc>
          <w:tcPr>
            <w:tcW w:w="777" w:type="dxa"/>
          </w:tcPr>
          <w:p w14:paraId="4F0E575D" w14:textId="266E5B3A" w:rsidR="002C4069" w:rsidRPr="002C4069" w:rsidRDefault="002C4069" w:rsidP="001D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069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5455" w:type="dxa"/>
          </w:tcPr>
          <w:p w14:paraId="743A64D9" w14:textId="6B8AB6B2" w:rsidR="002C4069" w:rsidRPr="002C4069" w:rsidRDefault="002C4069" w:rsidP="001D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069">
              <w:rPr>
                <w:rFonts w:ascii="Times New Roman" w:hAnsi="Times New Roman" w:cs="Times New Roman"/>
                <w:sz w:val="28"/>
                <w:szCs w:val="28"/>
              </w:rPr>
              <w:t>иные нарушения</w:t>
            </w:r>
          </w:p>
        </w:tc>
        <w:tc>
          <w:tcPr>
            <w:tcW w:w="1542" w:type="dxa"/>
          </w:tcPr>
          <w:p w14:paraId="7F3BBF68" w14:textId="2DCEE06B" w:rsidR="002C4069" w:rsidRPr="002C4069" w:rsidRDefault="002C4069" w:rsidP="001D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69">
              <w:rPr>
                <w:rFonts w:ascii="Times New Roman" w:hAnsi="Times New Roman" w:cs="Times New Roman"/>
                <w:sz w:val="28"/>
                <w:szCs w:val="28"/>
              </w:rPr>
              <w:t>107,4</w:t>
            </w:r>
          </w:p>
        </w:tc>
        <w:tc>
          <w:tcPr>
            <w:tcW w:w="1435" w:type="dxa"/>
          </w:tcPr>
          <w:p w14:paraId="322AEC3F" w14:textId="748441A9" w:rsidR="002C4069" w:rsidRPr="002C4069" w:rsidRDefault="002C4069" w:rsidP="001D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5C19" w:rsidRPr="00B55C19" w14:paraId="39335C1C" w14:textId="77777777" w:rsidTr="003430C9">
        <w:trPr>
          <w:trHeight w:val="696"/>
        </w:trPr>
        <w:tc>
          <w:tcPr>
            <w:tcW w:w="777" w:type="dxa"/>
          </w:tcPr>
          <w:p w14:paraId="43E34CBF" w14:textId="7EE512A5" w:rsidR="0097099D" w:rsidRPr="00B55C19" w:rsidRDefault="00B55C19" w:rsidP="001D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C19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5455" w:type="dxa"/>
          </w:tcPr>
          <w:p w14:paraId="02040F16" w14:textId="77B6E37B" w:rsidR="0097099D" w:rsidRPr="00B55C19" w:rsidRDefault="00B55C19" w:rsidP="001D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C19">
              <w:rPr>
                <w:rFonts w:ascii="Times New Roman" w:hAnsi="Times New Roman" w:cs="Times New Roman"/>
                <w:sz w:val="28"/>
                <w:szCs w:val="28"/>
              </w:rPr>
              <w:t>нецелевое использование бюджетных средств</w:t>
            </w:r>
          </w:p>
        </w:tc>
        <w:tc>
          <w:tcPr>
            <w:tcW w:w="1542" w:type="dxa"/>
          </w:tcPr>
          <w:p w14:paraId="70C36E58" w14:textId="55D2C28D" w:rsidR="0097099D" w:rsidRPr="00B55C19" w:rsidRDefault="00B55C19" w:rsidP="001D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14:paraId="146D1E62" w14:textId="117E883F" w:rsidR="0097099D" w:rsidRPr="00B55C19" w:rsidRDefault="00B55C19" w:rsidP="001D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5C19" w:rsidRPr="00B55C19" w14:paraId="14050700" w14:textId="77777777" w:rsidTr="003430C9">
        <w:trPr>
          <w:trHeight w:val="692"/>
        </w:trPr>
        <w:tc>
          <w:tcPr>
            <w:tcW w:w="777" w:type="dxa"/>
            <w:shd w:val="clear" w:color="auto" w:fill="DEEAF6" w:themeFill="accent5" w:themeFillTint="33"/>
          </w:tcPr>
          <w:p w14:paraId="02617518" w14:textId="019A38D3" w:rsidR="0097099D" w:rsidRPr="00B55C19" w:rsidRDefault="00B55C19" w:rsidP="00970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C1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55" w:type="dxa"/>
            <w:shd w:val="clear" w:color="auto" w:fill="DEEAF6" w:themeFill="accent5" w:themeFillTint="33"/>
          </w:tcPr>
          <w:p w14:paraId="6FD5C1CE" w14:textId="63F264A9" w:rsidR="0097099D" w:rsidRPr="00B55C19" w:rsidRDefault="00B55C19" w:rsidP="00970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C19">
              <w:rPr>
                <w:rFonts w:ascii="Times New Roman" w:hAnsi="Times New Roman" w:cs="Times New Roman"/>
                <w:sz w:val="28"/>
                <w:szCs w:val="28"/>
              </w:rPr>
              <w:t>Выявлено неэффективное использование муниципальных средств</w:t>
            </w:r>
          </w:p>
        </w:tc>
        <w:tc>
          <w:tcPr>
            <w:tcW w:w="1542" w:type="dxa"/>
            <w:shd w:val="clear" w:color="auto" w:fill="DEEAF6" w:themeFill="accent5" w:themeFillTint="33"/>
          </w:tcPr>
          <w:p w14:paraId="7678DC7E" w14:textId="48C57E3C" w:rsidR="0097099D" w:rsidRPr="00B55C19" w:rsidRDefault="00B55C19" w:rsidP="0097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19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435" w:type="dxa"/>
            <w:shd w:val="clear" w:color="auto" w:fill="DEEAF6" w:themeFill="accent5" w:themeFillTint="33"/>
          </w:tcPr>
          <w:p w14:paraId="15AFCAD5" w14:textId="5B8894F1" w:rsidR="0097099D" w:rsidRPr="00B55C19" w:rsidRDefault="00B55C19" w:rsidP="0097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5C19" w:rsidRPr="00B55C19" w14:paraId="251C179F" w14:textId="77777777" w:rsidTr="003430C9">
        <w:trPr>
          <w:trHeight w:val="419"/>
        </w:trPr>
        <w:tc>
          <w:tcPr>
            <w:tcW w:w="777" w:type="dxa"/>
            <w:shd w:val="clear" w:color="auto" w:fill="DEEAF6" w:themeFill="accent5" w:themeFillTint="33"/>
          </w:tcPr>
          <w:p w14:paraId="7FF68317" w14:textId="642EAD89" w:rsidR="0097099D" w:rsidRPr="00B55C19" w:rsidRDefault="00B55C19" w:rsidP="00970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7099D" w:rsidRPr="00B55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5" w:type="dxa"/>
            <w:shd w:val="clear" w:color="auto" w:fill="DEEAF6" w:themeFill="accent5" w:themeFillTint="33"/>
          </w:tcPr>
          <w:p w14:paraId="2F0FFE18" w14:textId="341795FE" w:rsidR="0097099D" w:rsidRPr="00B55C19" w:rsidRDefault="0097099D" w:rsidP="00970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C19">
              <w:rPr>
                <w:rFonts w:ascii="Times New Roman" w:hAnsi="Times New Roman" w:cs="Times New Roman"/>
                <w:sz w:val="28"/>
                <w:szCs w:val="28"/>
              </w:rPr>
              <w:t xml:space="preserve">Устранено выявленных нарушений </w:t>
            </w:r>
          </w:p>
        </w:tc>
        <w:tc>
          <w:tcPr>
            <w:tcW w:w="2977" w:type="dxa"/>
            <w:gridSpan w:val="2"/>
            <w:shd w:val="clear" w:color="auto" w:fill="DEEAF6" w:themeFill="accent5" w:themeFillTint="33"/>
          </w:tcPr>
          <w:p w14:paraId="1393B890" w14:textId="0164701E" w:rsidR="0097099D" w:rsidRPr="00B55C19" w:rsidRDefault="00360A3B" w:rsidP="0097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19">
              <w:rPr>
                <w:rFonts w:ascii="Times New Roman" w:hAnsi="Times New Roman" w:cs="Times New Roman"/>
                <w:sz w:val="28"/>
                <w:szCs w:val="28"/>
              </w:rPr>
              <w:t>589,4</w:t>
            </w:r>
          </w:p>
        </w:tc>
      </w:tr>
      <w:tr w:rsidR="00B55C19" w:rsidRPr="00B55C19" w14:paraId="38D8D578" w14:textId="77777777" w:rsidTr="003430C9">
        <w:trPr>
          <w:trHeight w:val="411"/>
        </w:trPr>
        <w:tc>
          <w:tcPr>
            <w:tcW w:w="777" w:type="dxa"/>
          </w:tcPr>
          <w:p w14:paraId="41C30827" w14:textId="1F47FEF9" w:rsidR="0097099D" w:rsidRPr="00B55C19" w:rsidRDefault="00B55C19" w:rsidP="00970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7099D" w:rsidRPr="00B55C1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455" w:type="dxa"/>
          </w:tcPr>
          <w:p w14:paraId="721C8E64" w14:textId="07E20785" w:rsidR="0097099D" w:rsidRPr="00B55C19" w:rsidRDefault="0097099D" w:rsidP="00970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C1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 возврат средств в бюджет </w:t>
            </w:r>
          </w:p>
        </w:tc>
        <w:tc>
          <w:tcPr>
            <w:tcW w:w="2977" w:type="dxa"/>
            <w:gridSpan w:val="2"/>
          </w:tcPr>
          <w:p w14:paraId="4C8F8472" w14:textId="2089AB1F" w:rsidR="0097099D" w:rsidRPr="00B55C19" w:rsidRDefault="00B55C19" w:rsidP="0097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5C19" w:rsidRPr="00B55C19" w14:paraId="29DD11BE" w14:textId="77777777" w:rsidTr="003430C9">
        <w:trPr>
          <w:trHeight w:val="416"/>
        </w:trPr>
        <w:tc>
          <w:tcPr>
            <w:tcW w:w="777" w:type="dxa"/>
            <w:shd w:val="clear" w:color="auto" w:fill="DEEAF6" w:themeFill="accent5" w:themeFillTint="33"/>
          </w:tcPr>
          <w:p w14:paraId="71821E14" w14:textId="47D69F97" w:rsidR="0097099D" w:rsidRPr="00B55C19" w:rsidRDefault="00B55C19" w:rsidP="00970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7099D" w:rsidRPr="00B55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5" w:type="dxa"/>
            <w:shd w:val="clear" w:color="auto" w:fill="DEEAF6" w:themeFill="accent5" w:themeFillTint="33"/>
          </w:tcPr>
          <w:p w14:paraId="27C8DC07" w14:textId="6B366B02" w:rsidR="0097099D" w:rsidRPr="00B55C19" w:rsidRDefault="00B55C19" w:rsidP="00970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C19">
              <w:rPr>
                <w:rFonts w:ascii="Times New Roman" w:hAnsi="Times New Roman" w:cs="Times New Roman"/>
                <w:sz w:val="28"/>
                <w:szCs w:val="28"/>
              </w:rPr>
              <w:t>Внесено</w:t>
            </w:r>
            <w:r w:rsidR="0097099D" w:rsidRPr="00B55C19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</w:t>
            </w:r>
          </w:p>
        </w:tc>
        <w:tc>
          <w:tcPr>
            <w:tcW w:w="2977" w:type="dxa"/>
            <w:gridSpan w:val="2"/>
            <w:shd w:val="clear" w:color="auto" w:fill="DEEAF6" w:themeFill="accent5" w:themeFillTint="33"/>
          </w:tcPr>
          <w:p w14:paraId="5FADCEA2" w14:textId="1BFAD60D" w:rsidR="0097099D" w:rsidRPr="00B55C19" w:rsidRDefault="00360A3B" w:rsidP="0097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5C19" w:rsidRPr="00B55C19" w14:paraId="546AA069" w14:textId="77777777" w:rsidTr="003430C9">
        <w:trPr>
          <w:trHeight w:val="1415"/>
        </w:trPr>
        <w:tc>
          <w:tcPr>
            <w:tcW w:w="777" w:type="dxa"/>
            <w:shd w:val="clear" w:color="auto" w:fill="DEEAF6" w:themeFill="accent5" w:themeFillTint="33"/>
          </w:tcPr>
          <w:p w14:paraId="20FE674A" w14:textId="2418975B" w:rsidR="0097099D" w:rsidRPr="00B55C19" w:rsidRDefault="00B55C19" w:rsidP="00970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7099D" w:rsidRPr="00B55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5" w:type="dxa"/>
            <w:shd w:val="clear" w:color="auto" w:fill="DEEAF6" w:themeFill="accent5" w:themeFillTint="33"/>
          </w:tcPr>
          <w:p w14:paraId="5ACD3D60" w14:textId="3F3B569A" w:rsidR="0097099D" w:rsidRPr="00B55C19" w:rsidRDefault="0097099D" w:rsidP="00970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C19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информационных писем в органы </w:t>
            </w:r>
            <w:r w:rsidR="00B55C19" w:rsidRPr="00B55C19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исполнительной </w:t>
            </w:r>
            <w:r w:rsidRPr="00B55C19">
              <w:rPr>
                <w:rFonts w:ascii="Times New Roman" w:hAnsi="Times New Roman" w:cs="Times New Roman"/>
                <w:sz w:val="28"/>
                <w:szCs w:val="28"/>
              </w:rPr>
              <w:t>власти муниципального района</w:t>
            </w:r>
            <w:r w:rsidR="00B55C19" w:rsidRPr="00B55C19">
              <w:rPr>
                <w:rFonts w:ascii="Times New Roman" w:hAnsi="Times New Roman" w:cs="Times New Roman"/>
                <w:sz w:val="28"/>
                <w:szCs w:val="28"/>
              </w:rPr>
              <w:t>, органы местного самоуправления и объекты контроля</w:t>
            </w:r>
          </w:p>
        </w:tc>
        <w:tc>
          <w:tcPr>
            <w:tcW w:w="2977" w:type="dxa"/>
            <w:gridSpan w:val="2"/>
            <w:shd w:val="clear" w:color="auto" w:fill="DEEAF6" w:themeFill="accent5" w:themeFillTint="33"/>
          </w:tcPr>
          <w:p w14:paraId="0EB86E42" w14:textId="77777777" w:rsidR="0097099D" w:rsidRPr="00B55C19" w:rsidRDefault="00851483" w:rsidP="0097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55C19" w:rsidRPr="00B55C19" w14:paraId="512CE635" w14:textId="77777777" w:rsidTr="003430C9">
        <w:trPr>
          <w:trHeight w:val="1124"/>
        </w:trPr>
        <w:tc>
          <w:tcPr>
            <w:tcW w:w="777" w:type="dxa"/>
            <w:shd w:val="clear" w:color="auto" w:fill="DEEAF6" w:themeFill="accent5" w:themeFillTint="33"/>
          </w:tcPr>
          <w:p w14:paraId="325ED80F" w14:textId="7DDAE85D" w:rsidR="00B55C19" w:rsidRPr="00B55C19" w:rsidRDefault="00B55C19" w:rsidP="00970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55" w:type="dxa"/>
            <w:shd w:val="clear" w:color="auto" w:fill="DEEAF6" w:themeFill="accent5" w:themeFillTint="33"/>
          </w:tcPr>
          <w:p w14:paraId="7B937723" w14:textId="4E877F09" w:rsidR="00B55C19" w:rsidRPr="00B55C19" w:rsidRDefault="00B55C19" w:rsidP="00970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материалов, направленных в органы прокуратуры и иные правоохранительные органы</w:t>
            </w:r>
          </w:p>
        </w:tc>
        <w:tc>
          <w:tcPr>
            <w:tcW w:w="2977" w:type="dxa"/>
            <w:gridSpan w:val="2"/>
            <w:shd w:val="clear" w:color="auto" w:fill="DEEAF6" w:themeFill="accent5" w:themeFillTint="33"/>
          </w:tcPr>
          <w:p w14:paraId="634E62B0" w14:textId="3F215BA7" w:rsidR="00B55C19" w:rsidRPr="00B55C19" w:rsidRDefault="00B55C19" w:rsidP="0097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C19" w:rsidRPr="00B55C19" w14:paraId="3FB04EC2" w14:textId="77777777" w:rsidTr="00344C8A">
        <w:tc>
          <w:tcPr>
            <w:tcW w:w="777" w:type="dxa"/>
            <w:shd w:val="clear" w:color="auto" w:fill="DEEAF6" w:themeFill="accent5" w:themeFillTint="33"/>
          </w:tcPr>
          <w:p w14:paraId="1998AC18" w14:textId="5A3CF93A" w:rsidR="0097099D" w:rsidRPr="00B55C19" w:rsidRDefault="00B55C19" w:rsidP="00970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C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7099D" w:rsidRPr="00B55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5" w:type="dxa"/>
            <w:shd w:val="clear" w:color="auto" w:fill="DEEAF6" w:themeFill="accent5" w:themeFillTint="33"/>
          </w:tcPr>
          <w:p w14:paraId="110EE74B" w14:textId="77777777" w:rsidR="0097099D" w:rsidRPr="00B55C19" w:rsidRDefault="0097099D" w:rsidP="00970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C19">
              <w:rPr>
                <w:rFonts w:ascii="Times New Roman" w:hAnsi="Times New Roman" w:cs="Times New Roman"/>
                <w:sz w:val="28"/>
                <w:szCs w:val="28"/>
              </w:rPr>
              <w:t>Составлено протоколов об административном правонарушении</w:t>
            </w:r>
          </w:p>
        </w:tc>
        <w:tc>
          <w:tcPr>
            <w:tcW w:w="2977" w:type="dxa"/>
            <w:gridSpan w:val="2"/>
            <w:shd w:val="clear" w:color="auto" w:fill="DEEAF6" w:themeFill="accent5" w:themeFillTint="33"/>
          </w:tcPr>
          <w:p w14:paraId="03CBE22B" w14:textId="7161C303" w:rsidR="0097099D" w:rsidRPr="00B55C19" w:rsidRDefault="00360A3B" w:rsidP="0097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C19" w:rsidRPr="00B55C19" w14:paraId="398AB53B" w14:textId="77777777" w:rsidTr="003430C9">
        <w:trPr>
          <w:trHeight w:val="693"/>
        </w:trPr>
        <w:tc>
          <w:tcPr>
            <w:tcW w:w="777" w:type="dxa"/>
            <w:shd w:val="clear" w:color="auto" w:fill="DEEAF6" w:themeFill="accent5" w:themeFillTint="33"/>
          </w:tcPr>
          <w:p w14:paraId="69CA38B9" w14:textId="0FE30CB1" w:rsidR="0097099D" w:rsidRPr="00B55C19" w:rsidRDefault="00B55C19" w:rsidP="00970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97099D" w:rsidRPr="00B55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5" w:type="dxa"/>
            <w:shd w:val="clear" w:color="auto" w:fill="DEEAF6" w:themeFill="accent5" w:themeFillTint="33"/>
          </w:tcPr>
          <w:p w14:paraId="0DEEFFA8" w14:textId="77777777" w:rsidR="0097099D" w:rsidRPr="00B55C19" w:rsidRDefault="0097099D" w:rsidP="00970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C19">
              <w:rPr>
                <w:rFonts w:ascii="Times New Roman" w:hAnsi="Times New Roman" w:cs="Times New Roman"/>
                <w:sz w:val="28"/>
                <w:szCs w:val="28"/>
              </w:rPr>
              <w:t>Привлечено лиц к административной ответственности</w:t>
            </w:r>
          </w:p>
        </w:tc>
        <w:tc>
          <w:tcPr>
            <w:tcW w:w="2977" w:type="dxa"/>
            <w:gridSpan w:val="2"/>
            <w:shd w:val="clear" w:color="auto" w:fill="DEEAF6" w:themeFill="accent5" w:themeFillTint="33"/>
          </w:tcPr>
          <w:p w14:paraId="24D27978" w14:textId="77777777" w:rsidR="0097099D" w:rsidRPr="00B55C19" w:rsidRDefault="00DC65FD" w:rsidP="0097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5C19" w:rsidRPr="00B55C19" w14:paraId="0BA826E6" w14:textId="77777777" w:rsidTr="003430C9">
        <w:trPr>
          <w:trHeight w:val="703"/>
        </w:trPr>
        <w:tc>
          <w:tcPr>
            <w:tcW w:w="777" w:type="dxa"/>
            <w:shd w:val="clear" w:color="auto" w:fill="DEEAF6" w:themeFill="accent5" w:themeFillTint="33"/>
          </w:tcPr>
          <w:p w14:paraId="19575A99" w14:textId="57ECA5DE" w:rsidR="0097099D" w:rsidRPr="00B55C19" w:rsidRDefault="0097099D" w:rsidP="00970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5C19" w:rsidRPr="00B55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5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5" w:type="dxa"/>
            <w:shd w:val="clear" w:color="auto" w:fill="DEEAF6" w:themeFill="accent5" w:themeFillTint="33"/>
          </w:tcPr>
          <w:p w14:paraId="473B61F8" w14:textId="77777777" w:rsidR="0097099D" w:rsidRPr="00B55C19" w:rsidRDefault="0097099D" w:rsidP="00970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C19">
              <w:rPr>
                <w:rFonts w:ascii="Times New Roman" w:hAnsi="Times New Roman" w:cs="Times New Roman"/>
                <w:sz w:val="28"/>
                <w:szCs w:val="28"/>
              </w:rPr>
              <w:t>Привлечено лиц к дисциплинарной ответственности</w:t>
            </w:r>
          </w:p>
        </w:tc>
        <w:tc>
          <w:tcPr>
            <w:tcW w:w="2977" w:type="dxa"/>
            <w:gridSpan w:val="2"/>
            <w:shd w:val="clear" w:color="auto" w:fill="DEEAF6" w:themeFill="accent5" w:themeFillTint="33"/>
          </w:tcPr>
          <w:p w14:paraId="4C2A3E63" w14:textId="31346F12" w:rsidR="0097099D" w:rsidRPr="00B55C19" w:rsidRDefault="00B55C19" w:rsidP="0097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681D869B" w14:textId="0D145C3B" w:rsidR="00DD6E4E" w:rsidRDefault="00DD6E4E" w:rsidP="00DD6E4E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Cs/>
          <w:sz w:val="34"/>
          <w:szCs w:val="34"/>
        </w:rPr>
      </w:pPr>
      <w:r>
        <w:rPr>
          <w:rFonts w:ascii="Times New Roman" w:hAnsi="Times New Roman" w:cs="Times New Roman"/>
          <w:bCs/>
          <w:sz w:val="34"/>
          <w:szCs w:val="34"/>
        </w:rPr>
        <w:t>Всего в 2020 году в ходе осуществления внешнего муниципального финансового контроля выявлено 31 нарушение на общую сумму 5172,6 тыс. рублей. Основную долю нарушений составляют:</w:t>
      </w:r>
    </w:p>
    <w:p w14:paraId="6122F75B" w14:textId="23EA934C" w:rsidR="00DD6E4E" w:rsidRDefault="00DD6E4E" w:rsidP="00DD6E4E">
      <w:pPr>
        <w:pStyle w:val="a6"/>
        <w:numPr>
          <w:ilvl w:val="0"/>
          <w:numId w:val="10"/>
        </w:numPr>
        <w:spacing w:before="240" w:line="360" w:lineRule="auto"/>
        <w:jc w:val="both"/>
        <w:rPr>
          <w:bCs/>
          <w:sz w:val="34"/>
          <w:szCs w:val="34"/>
        </w:rPr>
      </w:pPr>
      <w:r>
        <w:rPr>
          <w:bCs/>
          <w:sz w:val="34"/>
          <w:szCs w:val="34"/>
        </w:rPr>
        <w:t>нарушения ведения бухгалтерского учета и составления отчетности – 2525,2 тыс. рублей,</w:t>
      </w:r>
    </w:p>
    <w:p w14:paraId="7921989B" w14:textId="3979C646" w:rsidR="00DD6E4E" w:rsidRDefault="00DD6E4E" w:rsidP="00DD6E4E">
      <w:pPr>
        <w:pStyle w:val="a6"/>
        <w:numPr>
          <w:ilvl w:val="0"/>
          <w:numId w:val="10"/>
        </w:numPr>
        <w:spacing w:before="240" w:line="360" w:lineRule="auto"/>
        <w:jc w:val="both"/>
        <w:rPr>
          <w:bCs/>
          <w:sz w:val="34"/>
          <w:szCs w:val="34"/>
        </w:rPr>
      </w:pPr>
      <w:r>
        <w:rPr>
          <w:bCs/>
          <w:sz w:val="34"/>
          <w:szCs w:val="34"/>
        </w:rPr>
        <w:t>нарушения при формировании и исполнении бюджета – 2406,7 тыс. рублей.</w:t>
      </w:r>
    </w:p>
    <w:p w14:paraId="0FB82C8C" w14:textId="5719F555" w:rsidR="00DD6E4E" w:rsidRDefault="00DD6E4E" w:rsidP="00DD6E4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4"/>
          <w:szCs w:val="34"/>
        </w:rPr>
      </w:pPr>
      <w:r>
        <w:rPr>
          <w:rFonts w:ascii="Times New Roman" w:hAnsi="Times New Roman" w:cs="Times New Roman"/>
          <w:bCs/>
          <w:sz w:val="34"/>
          <w:szCs w:val="34"/>
        </w:rPr>
        <w:t>Установлены 3 случая неэффективного использования бюджетных средств на сумму 18,6 тыс. рублей.</w:t>
      </w:r>
    </w:p>
    <w:p w14:paraId="19E5B372" w14:textId="1EBCE527" w:rsidR="00DD6E4E" w:rsidRDefault="00DD6E4E" w:rsidP="00DD6E4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4"/>
          <w:szCs w:val="34"/>
        </w:rPr>
      </w:pPr>
      <w:r>
        <w:rPr>
          <w:rFonts w:ascii="Times New Roman" w:hAnsi="Times New Roman" w:cs="Times New Roman"/>
          <w:bCs/>
          <w:sz w:val="34"/>
          <w:szCs w:val="34"/>
        </w:rPr>
        <w:t xml:space="preserve">По результатам проведенных </w:t>
      </w:r>
      <w:r w:rsidR="004C0839">
        <w:rPr>
          <w:rFonts w:ascii="Times New Roman" w:hAnsi="Times New Roman" w:cs="Times New Roman"/>
          <w:bCs/>
          <w:sz w:val="34"/>
          <w:szCs w:val="34"/>
        </w:rPr>
        <w:t>контрольных мероприятий главным распорядителям средств бюджета и другим участникам бюджетного процесса в отчетном году направлено 3 представления, содержащих информацию о выявленных нарушениях и недостатках, и соответствующие предложения по их устранению.</w:t>
      </w:r>
    </w:p>
    <w:p w14:paraId="4FAFD106" w14:textId="65944008" w:rsidR="004C0839" w:rsidRDefault="004C0839" w:rsidP="00DD6E4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4"/>
          <w:szCs w:val="34"/>
        </w:rPr>
      </w:pPr>
      <w:r>
        <w:rPr>
          <w:rFonts w:ascii="Times New Roman" w:hAnsi="Times New Roman" w:cs="Times New Roman"/>
          <w:bCs/>
          <w:sz w:val="34"/>
          <w:szCs w:val="34"/>
        </w:rPr>
        <w:t>За ненадлежащее исполнение должностных обязанностей, в том числе повлекших нарушение действующего законодательства и неэффективное использование бюджетных средств, привлечены к дисциплинарной ответственности 4 должностных лица проверяемых органов.</w:t>
      </w:r>
    </w:p>
    <w:p w14:paraId="0420C371" w14:textId="03696BC5" w:rsidR="004C0839" w:rsidRDefault="004C0839" w:rsidP="00DD6E4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4"/>
          <w:szCs w:val="34"/>
        </w:rPr>
      </w:pPr>
      <w:r>
        <w:rPr>
          <w:rFonts w:ascii="Times New Roman" w:hAnsi="Times New Roman" w:cs="Times New Roman"/>
          <w:bCs/>
          <w:sz w:val="34"/>
          <w:szCs w:val="34"/>
        </w:rPr>
        <w:lastRenderedPageBreak/>
        <w:t>В соответствии с Регламентом Контрольно-счетной комиссии в Совет депутатов и главе муниципального района направлено 10 информационных писем о результатах проведенных контрольных мероприятий.</w:t>
      </w:r>
    </w:p>
    <w:p w14:paraId="7E581784" w14:textId="38ECD760" w:rsidR="004C0839" w:rsidRDefault="00FA6C65" w:rsidP="00DD6E4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4"/>
          <w:szCs w:val="34"/>
        </w:rPr>
      </w:pPr>
      <w:r>
        <w:rPr>
          <w:rFonts w:ascii="Times New Roman" w:hAnsi="Times New Roman" w:cs="Times New Roman"/>
          <w:bCs/>
          <w:sz w:val="34"/>
          <w:szCs w:val="34"/>
        </w:rPr>
        <w:t>П</w:t>
      </w:r>
      <w:r w:rsidR="004C0839">
        <w:rPr>
          <w:rFonts w:ascii="Times New Roman" w:hAnsi="Times New Roman" w:cs="Times New Roman"/>
          <w:bCs/>
          <w:sz w:val="34"/>
          <w:szCs w:val="34"/>
        </w:rPr>
        <w:t>родолжен</w:t>
      </w:r>
      <w:r>
        <w:rPr>
          <w:rFonts w:ascii="Times New Roman" w:hAnsi="Times New Roman" w:cs="Times New Roman"/>
          <w:bCs/>
          <w:sz w:val="34"/>
          <w:szCs w:val="34"/>
        </w:rPr>
        <w:t>а работа, направленная на повышение эффективности муниципального финансового контроля, путем активного взаимодействия с органами внутреннего муниципального финансового контроля (Управлением финансов администрации муниципального района), а именно, проведено 5 совместных контрольных мероприятий и оказана необходимая консультативная и методическая помощь.</w:t>
      </w:r>
    </w:p>
    <w:p w14:paraId="710F45CE" w14:textId="72C38945" w:rsidR="00FA6C65" w:rsidRDefault="00FA6C65" w:rsidP="00DD6E4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4"/>
          <w:szCs w:val="34"/>
        </w:rPr>
      </w:pPr>
      <w:r>
        <w:rPr>
          <w:rFonts w:ascii="Times New Roman" w:hAnsi="Times New Roman" w:cs="Times New Roman"/>
          <w:bCs/>
          <w:sz w:val="34"/>
          <w:szCs w:val="34"/>
        </w:rPr>
        <w:t>Кроме того, в течении 2020 года в Контрольно-счетную палату Липецкой области направлялись аналитические материалы, подготовленные по запросам.</w:t>
      </w:r>
    </w:p>
    <w:p w14:paraId="5276050A" w14:textId="5107A0C8" w:rsidR="00FA6C65" w:rsidRDefault="00FA6C65" w:rsidP="00DD6E4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4"/>
          <w:szCs w:val="34"/>
        </w:rPr>
      </w:pPr>
      <w:r>
        <w:rPr>
          <w:rFonts w:ascii="Times New Roman" w:hAnsi="Times New Roman" w:cs="Times New Roman"/>
          <w:bCs/>
          <w:sz w:val="34"/>
          <w:szCs w:val="34"/>
        </w:rPr>
        <w:t>В формате экспертно-аналитических мероприятий КСК продолжалось осуществление ежеквартальных мониторингов хода исполнения районного и консолидированного бюджетов Добринского района.</w:t>
      </w:r>
    </w:p>
    <w:p w14:paraId="2CAFE888" w14:textId="7CF8BDCD" w:rsidR="00FD5437" w:rsidRDefault="00FD5437" w:rsidP="00DD6E4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4"/>
          <w:szCs w:val="34"/>
        </w:rPr>
      </w:pPr>
      <w:r>
        <w:rPr>
          <w:rFonts w:ascii="Times New Roman" w:hAnsi="Times New Roman" w:cs="Times New Roman"/>
          <w:bCs/>
          <w:sz w:val="34"/>
          <w:szCs w:val="34"/>
        </w:rPr>
        <w:t xml:space="preserve">Для совершенствования контрольной и экспертно-аналитической работы КСК разработаны и утверждены </w:t>
      </w:r>
      <w:r w:rsidR="008F4E2B">
        <w:rPr>
          <w:rFonts w:ascii="Times New Roman" w:hAnsi="Times New Roman" w:cs="Times New Roman"/>
          <w:bCs/>
          <w:sz w:val="34"/>
          <w:szCs w:val="34"/>
        </w:rPr>
        <w:t>дополнительно два стандарта внешнего муниципального финансового контроля:</w:t>
      </w:r>
    </w:p>
    <w:p w14:paraId="6D96559C" w14:textId="19A225C1" w:rsidR="008F4E2B" w:rsidRDefault="008F4E2B" w:rsidP="008F4E2B">
      <w:pPr>
        <w:pStyle w:val="a6"/>
        <w:numPr>
          <w:ilvl w:val="0"/>
          <w:numId w:val="11"/>
        </w:numPr>
        <w:spacing w:line="360" w:lineRule="auto"/>
        <w:jc w:val="both"/>
        <w:rPr>
          <w:bCs/>
          <w:sz w:val="34"/>
          <w:szCs w:val="34"/>
        </w:rPr>
      </w:pPr>
      <w:r>
        <w:rPr>
          <w:bCs/>
          <w:sz w:val="34"/>
          <w:szCs w:val="34"/>
        </w:rPr>
        <w:t>«Проведение оперативного (текущего) контроля за исполнением бюджета»,</w:t>
      </w:r>
    </w:p>
    <w:p w14:paraId="7C8F2FC1" w14:textId="7EAD4B2E" w:rsidR="008F4E2B" w:rsidRPr="008F4E2B" w:rsidRDefault="008F4E2B" w:rsidP="008F4E2B">
      <w:pPr>
        <w:pStyle w:val="a6"/>
        <w:numPr>
          <w:ilvl w:val="0"/>
          <w:numId w:val="11"/>
        </w:numPr>
        <w:spacing w:line="360" w:lineRule="auto"/>
        <w:jc w:val="both"/>
        <w:rPr>
          <w:bCs/>
          <w:sz w:val="34"/>
          <w:szCs w:val="34"/>
        </w:rPr>
      </w:pPr>
      <w:r>
        <w:rPr>
          <w:bCs/>
          <w:sz w:val="34"/>
          <w:szCs w:val="34"/>
        </w:rPr>
        <w:lastRenderedPageBreak/>
        <w:t>«Общие правила проведения проверок управления и распоряжения муниципальным имуществом».</w:t>
      </w:r>
    </w:p>
    <w:p w14:paraId="5D8A3D03" w14:textId="28435BE4" w:rsidR="00FA6C65" w:rsidRPr="00DD6E4E" w:rsidRDefault="00FA6C65" w:rsidP="00DD6E4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4"/>
          <w:szCs w:val="34"/>
        </w:rPr>
      </w:pPr>
      <w:r>
        <w:rPr>
          <w:rFonts w:ascii="Times New Roman" w:hAnsi="Times New Roman" w:cs="Times New Roman"/>
          <w:bCs/>
          <w:sz w:val="34"/>
          <w:szCs w:val="34"/>
        </w:rPr>
        <w:t>Подробная информация о деятельности КСК представлена в соответствующих разделах настоящего отчета.</w:t>
      </w:r>
    </w:p>
    <w:p w14:paraId="69DC4AA0" w14:textId="71305122" w:rsidR="001C1801" w:rsidRPr="00D557F5" w:rsidRDefault="00F214D9" w:rsidP="0051684B">
      <w:pPr>
        <w:spacing w:before="240" w:after="0" w:line="360" w:lineRule="auto"/>
        <w:ind w:firstLine="709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Результаты контрольных мероприятий</w:t>
      </w:r>
      <w:r w:rsidR="0051684B">
        <w:rPr>
          <w:rFonts w:ascii="Times New Roman" w:hAnsi="Times New Roman" w:cs="Times New Roman"/>
          <w:b/>
          <w:sz w:val="34"/>
          <w:szCs w:val="34"/>
        </w:rPr>
        <w:t>.</w:t>
      </w:r>
    </w:p>
    <w:p w14:paraId="4327BD9B" w14:textId="57519B4D" w:rsidR="00945E86" w:rsidRPr="008417BF" w:rsidRDefault="003A165C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417BF">
        <w:rPr>
          <w:rFonts w:ascii="Times New Roman" w:hAnsi="Times New Roman" w:cs="Times New Roman"/>
          <w:sz w:val="34"/>
          <w:szCs w:val="34"/>
        </w:rPr>
        <w:t>В рамках контрольной деятельности</w:t>
      </w:r>
      <w:r w:rsidR="00945E86" w:rsidRPr="008417BF">
        <w:rPr>
          <w:rFonts w:ascii="Times New Roman" w:hAnsi="Times New Roman" w:cs="Times New Roman"/>
          <w:sz w:val="34"/>
          <w:szCs w:val="34"/>
        </w:rPr>
        <w:t xml:space="preserve"> </w:t>
      </w:r>
      <w:r w:rsidR="00784DB6" w:rsidRPr="008417BF">
        <w:rPr>
          <w:rFonts w:ascii="Times New Roman" w:hAnsi="Times New Roman" w:cs="Times New Roman"/>
          <w:sz w:val="34"/>
          <w:szCs w:val="34"/>
        </w:rPr>
        <w:t>о</w:t>
      </w:r>
      <w:r w:rsidR="00945E86" w:rsidRPr="008417BF">
        <w:rPr>
          <w:rFonts w:ascii="Times New Roman" w:hAnsi="Times New Roman" w:cs="Times New Roman"/>
          <w:sz w:val="34"/>
          <w:szCs w:val="34"/>
        </w:rPr>
        <w:t>бъем проверенных средств</w:t>
      </w:r>
      <w:r w:rsidR="007B3A25">
        <w:rPr>
          <w:rFonts w:ascii="Times New Roman" w:hAnsi="Times New Roman" w:cs="Times New Roman"/>
          <w:sz w:val="34"/>
          <w:szCs w:val="34"/>
        </w:rPr>
        <w:t xml:space="preserve"> (без учета внешней проверки годовой отчетности)</w:t>
      </w:r>
      <w:r w:rsidR="00945E86" w:rsidRPr="008417BF">
        <w:rPr>
          <w:rFonts w:ascii="Times New Roman" w:hAnsi="Times New Roman" w:cs="Times New Roman"/>
          <w:sz w:val="34"/>
          <w:szCs w:val="34"/>
        </w:rPr>
        <w:t xml:space="preserve"> составил </w:t>
      </w:r>
      <w:r w:rsidR="001D31EE">
        <w:rPr>
          <w:rFonts w:ascii="Times New Roman" w:hAnsi="Times New Roman" w:cs="Times New Roman"/>
          <w:sz w:val="34"/>
          <w:szCs w:val="34"/>
        </w:rPr>
        <w:t>21475,5</w:t>
      </w:r>
      <w:r w:rsidR="00945E86" w:rsidRPr="008417BF">
        <w:rPr>
          <w:rFonts w:ascii="Times New Roman" w:hAnsi="Times New Roman" w:cs="Times New Roman"/>
          <w:sz w:val="34"/>
          <w:szCs w:val="34"/>
        </w:rPr>
        <w:t xml:space="preserve"> тыс. рублей.</w:t>
      </w:r>
    </w:p>
    <w:p w14:paraId="66A1C936" w14:textId="204DA1D2" w:rsidR="009F51E0" w:rsidRDefault="00945E86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417BF">
        <w:rPr>
          <w:rFonts w:ascii="Times New Roman" w:hAnsi="Times New Roman" w:cs="Times New Roman"/>
          <w:sz w:val="34"/>
          <w:szCs w:val="34"/>
        </w:rPr>
        <w:t xml:space="preserve">По результатам контрольных мероприятий установлено нарушений и недостатков на сумму </w:t>
      </w:r>
      <w:r w:rsidR="00D51F3B">
        <w:rPr>
          <w:rFonts w:ascii="Times New Roman" w:hAnsi="Times New Roman" w:cs="Times New Roman"/>
          <w:sz w:val="34"/>
          <w:szCs w:val="34"/>
        </w:rPr>
        <w:t>5172,6</w:t>
      </w:r>
      <w:r w:rsidRPr="008417BF">
        <w:rPr>
          <w:rFonts w:ascii="Times New Roman" w:hAnsi="Times New Roman" w:cs="Times New Roman"/>
          <w:sz w:val="34"/>
          <w:szCs w:val="34"/>
        </w:rPr>
        <w:t xml:space="preserve"> тыс. рублей</w:t>
      </w:r>
      <w:r w:rsidR="009F51E0">
        <w:rPr>
          <w:rFonts w:ascii="Times New Roman" w:hAnsi="Times New Roman" w:cs="Times New Roman"/>
          <w:sz w:val="34"/>
          <w:szCs w:val="34"/>
        </w:rPr>
        <w:t xml:space="preserve">. </w:t>
      </w:r>
    </w:p>
    <w:p w14:paraId="67B0F7A7" w14:textId="2CC935A5" w:rsidR="009F51E0" w:rsidRPr="00AC5AD3" w:rsidRDefault="009F51E0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В </w:t>
      </w:r>
      <w:r w:rsidR="001D31EE">
        <w:rPr>
          <w:rFonts w:ascii="Times New Roman" w:hAnsi="Times New Roman" w:cs="Times New Roman"/>
          <w:sz w:val="34"/>
          <w:szCs w:val="34"/>
        </w:rPr>
        <w:t>феврале-марте</w:t>
      </w:r>
      <w:r>
        <w:rPr>
          <w:rFonts w:ascii="Times New Roman" w:hAnsi="Times New Roman" w:cs="Times New Roman"/>
          <w:sz w:val="34"/>
          <w:szCs w:val="34"/>
        </w:rPr>
        <w:t xml:space="preserve"> 20</w:t>
      </w:r>
      <w:r w:rsidR="001D31EE">
        <w:rPr>
          <w:rFonts w:ascii="Times New Roman" w:hAnsi="Times New Roman" w:cs="Times New Roman"/>
          <w:sz w:val="34"/>
          <w:szCs w:val="34"/>
        </w:rPr>
        <w:t>20</w:t>
      </w:r>
      <w:r>
        <w:rPr>
          <w:rFonts w:ascii="Times New Roman" w:hAnsi="Times New Roman" w:cs="Times New Roman"/>
          <w:sz w:val="34"/>
          <w:szCs w:val="34"/>
        </w:rPr>
        <w:t xml:space="preserve"> года проведен</w:t>
      </w:r>
      <w:r w:rsidR="00C06B7A">
        <w:rPr>
          <w:rFonts w:ascii="Times New Roman" w:hAnsi="Times New Roman" w:cs="Times New Roman"/>
          <w:sz w:val="34"/>
          <w:szCs w:val="34"/>
        </w:rPr>
        <w:t>а</w:t>
      </w:r>
      <w:r>
        <w:rPr>
          <w:rFonts w:ascii="Times New Roman" w:hAnsi="Times New Roman" w:cs="Times New Roman"/>
          <w:sz w:val="34"/>
          <w:szCs w:val="34"/>
        </w:rPr>
        <w:t xml:space="preserve"> проверк</w:t>
      </w:r>
      <w:r w:rsidR="00C06B7A">
        <w:rPr>
          <w:rFonts w:ascii="Times New Roman" w:hAnsi="Times New Roman" w:cs="Times New Roman"/>
          <w:sz w:val="34"/>
          <w:szCs w:val="34"/>
        </w:rPr>
        <w:t>а</w:t>
      </w:r>
      <w:r>
        <w:rPr>
          <w:rFonts w:ascii="Times New Roman" w:hAnsi="Times New Roman" w:cs="Times New Roman"/>
          <w:sz w:val="34"/>
          <w:szCs w:val="34"/>
        </w:rPr>
        <w:t xml:space="preserve"> в администраци</w:t>
      </w:r>
      <w:r w:rsidR="00C06B7A">
        <w:rPr>
          <w:rFonts w:ascii="Times New Roman" w:hAnsi="Times New Roman" w:cs="Times New Roman"/>
          <w:sz w:val="34"/>
          <w:szCs w:val="34"/>
        </w:rPr>
        <w:t xml:space="preserve">и </w:t>
      </w:r>
      <w:r>
        <w:rPr>
          <w:rFonts w:ascii="Times New Roman" w:hAnsi="Times New Roman" w:cs="Times New Roman"/>
          <w:sz w:val="34"/>
          <w:szCs w:val="34"/>
        </w:rPr>
        <w:t>сельск</w:t>
      </w:r>
      <w:r w:rsidR="00C06B7A">
        <w:rPr>
          <w:rFonts w:ascii="Times New Roman" w:hAnsi="Times New Roman" w:cs="Times New Roman"/>
          <w:sz w:val="34"/>
          <w:szCs w:val="34"/>
        </w:rPr>
        <w:t>ого</w:t>
      </w:r>
      <w:r>
        <w:rPr>
          <w:rFonts w:ascii="Times New Roman" w:hAnsi="Times New Roman" w:cs="Times New Roman"/>
          <w:sz w:val="34"/>
          <w:szCs w:val="34"/>
        </w:rPr>
        <w:t xml:space="preserve"> поселени</w:t>
      </w:r>
      <w:r w:rsidR="00C06B7A">
        <w:rPr>
          <w:rFonts w:ascii="Times New Roman" w:hAnsi="Times New Roman" w:cs="Times New Roman"/>
          <w:sz w:val="34"/>
          <w:szCs w:val="34"/>
        </w:rPr>
        <w:t xml:space="preserve">я </w:t>
      </w:r>
      <w:r w:rsidR="001D31EE">
        <w:rPr>
          <w:rFonts w:ascii="Times New Roman" w:hAnsi="Times New Roman" w:cs="Times New Roman"/>
          <w:sz w:val="34"/>
          <w:szCs w:val="34"/>
        </w:rPr>
        <w:t>Мазейский</w:t>
      </w:r>
      <w:r w:rsidR="00C06B7A">
        <w:rPr>
          <w:rFonts w:ascii="Times New Roman" w:hAnsi="Times New Roman" w:cs="Times New Roman"/>
          <w:sz w:val="34"/>
          <w:szCs w:val="34"/>
        </w:rPr>
        <w:t xml:space="preserve"> сельсовет</w:t>
      </w:r>
      <w:r>
        <w:rPr>
          <w:rFonts w:ascii="Times New Roman" w:hAnsi="Times New Roman" w:cs="Times New Roman"/>
          <w:sz w:val="34"/>
          <w:szCs w:val="34"/>
        </w:rPr>
        <w:t xml:space="preserve"> по вопросу </w:t>
      </w:r>
      <w:r w:rsidR="00C06B7A">
        <w:rPr>
          <w:rFonts w:ascii="Times New Roman" w:hAnsi="Times New Roman" w:cs="Times New Roman"/>
          <w:sz w:val="34"/>
          <w:szCs w:val="34"/>
        </w:rPr>
        <w:t>обоснованности, эффективности и целевого использования бюджетных средств</w:t>
      </w:r>
      <w:r w:rsidR="001D31EE">
        <w:rPr>
          <w:rFonts w:ascii="Times New Roman" w:hAnsi="Times New Roman" w:cs="Times New Roman"/>
          <w:sz w:val="34"/>
          <w:szCs w:val="34"/>
        </w:rPr>
        <w:t>.</w:t>
      </w:r>
      <w:r w:rsidR="00AB0581">
        <w:rPr>
          <w:rFonts w:ascii="Times New Roman" w:hAnsi="Times New Roman" w:cs="Times New Roman"/>
          <w:sz w:val="34"/>
          <w:szCs w:val="34"/>
        </w:rPr>
        <w:t xml:space="preserve"> </w:t>
      </w:r>
      <w:r>
        <w:rPr>
          <w:rFonts w:ascii="Times New Roman" w:hAnsi="Times New Roman" w:cs="Times New Roman"/>
          <w:sz w:val="34"/>
          <w:szCs w:val="34"/>
        </w:rPr>
        <w:t xml:space="preserve">Объем проверенных средств составил </w:t>
      </w:r>
      <w:r w:rsidR="001D31EE">
        <w:rPr>
          <w:rFonts w:ascii="Times New Roman" w:hAnsi="Times New Roman" w:cs="Times New Roman"/>
          <w:sz w:val="34"/>
          <w:szCs w:val="34"/>
        </w:rPr>
        <w:t>12198,8</w:t>
      </w:r>
      <w:r>
        <w:rPr>
          <w:rFonts w:ascii="Times New Roman" w:hAnsi="Times New Roman" w:cs="Times New Roman"/>
          <w:sz w:val="34"/>
          <w:szCs w:val="34"/>
        </w:rPr>
        <w:t xml:space="preserve"> тыс. рублей. </w:t>
      </w:r>
      <w:r w:rsidR="00764466" w:rsidRPr="00AC5AD3">
        <w:rPr>
          <w:rFonts w:ascii="Times New Roman" w:hAnsi="Times New Roman" w:cs="Times New Roman"/>
          <w:sz w:val="34"/>
          <w:szCs w:val="34"/>
        </w:rPr>
        <w:t>В</w:t>
      </w:r>
      <w:r w:rsidR="00DF09A9" w:rsidRPr="00AC5AD3">
        <w:rPr>
          <w:rFonts w:ascii="Times New Roman" w:hAnsi="Times New Roman" w:cs="Times New Roman"/>
          <w:sz w:val="34"/>
          <w:szCs w:val="34"/>
        </w:rPr>
        <w:t xml:space="preserve"> ходе контрольн</w:t>
      </w:r>
      <w:r w:rsidR="00E46989" w:rsidRPr="00AC5AD3">
        <w:rPr>
          <w:rFonts w:ascii="Times New Roman" w:hAnsi="Times New Roman" w:cs="Times New Roman"/>
          <w:sz w:val="34"/>
          <w:szCs w:val="34"/>
        </w:rPr>
        <w:t>ого</w:t>
      </w:r>
      <w:r w:rsidR="00DF09A9" w:rsidRPr="00AC5AD3">
        <w:rPr>
          <w:rFonts w:ascii="Times New Roman" w:hAnsi="Times New Roman" w:cs="Times New Roman"/>
          <w:sz w:val="34"/>
          <w:szCs w:val="34"/>
        </w:rPr>
        <w:t xml:space="preserve"> мероприяти</w:t>
      </w:r>
      <w:r w:rsidR="00E46989" w:rsidRPr="00AC5AD3">
        <w:rPr>
          <w:rFonts w:ascii="Times New Roman" w:hAnsi="Times New Roman" w:cs="Times New Roman"/>
          <w:sz w:val="34"/>
          <w:szCs w:val="34"/>
        </w:rPr>
        <w:t>я</w:t>
      </w:r>
      <w:r w:rsidR="00DF09A9" w:rsidRPr="00AC5AD3">
        <w:rPr>
          <w:rFonts w:ascii="Times New Roman" w:hAnsi="Times New Roman" w:cs="Times New Roman"/>
          <w:sz w:val="34"/>
          <w:szCs w:val="34"/>
        </w:rPr>
        <w:t xml:space="preserve"> был</w:t>
      </w:r>
      <w:r w:rsidR="00764466" w:rsidRPr="00AC5AD3">
        <w:rPr>
          <w:rFonts w:ascii="Times New Roman" w:hAnsi="Times New Roman" w:cs="Times New Roman"/>
          <w:sz w:val="34"/>
          <w:szCs w:val="34"/>
        </w:rPr>
        <w:t>и</w:t>
      </w:r>
      <w:r w:rsidR="00DF09A9" w:rsidRPr="00AC5AD3">
        <w:rPr>
          <w:rFonts w:ascii="Times New Roman" w:hAnsi="Times New Roman" w:cs="Times New Roman"/>
          <w:sz w:val="34"/>
          <w:szCs w:val="34"/>
        </w:rPr>
        <w:t xml:space="preserve"> установлен</w:t>
      </w:r>
      <w:r w:rsidR="00764466" w:rsidRPr="00AC5AD3">
        <w:rPr>
          <w:rFonts w:ascii="Times New Roman" w:hAnsi="Times New Roman" w:cs="Times New Roman"/>
          <w:sz w:val="34"/>
          <w:szCs w:val="34"/>
        </w:rPr>
        <w:t xml:space="preserve">ы </w:t>
      </w:r>
      <w:r w:rsidR="007B3A25" w:rsidRPr="00AC5AD3">
        <w:rPr>
          <w:rFonts w:ascii="Times New Roman" w:hAnsi="Times New Roman" w:cs="Times New Roman"/>
          <w:sz w:val="34"/>
          <w:szCs w:val="34"/>
        </w:rPr>
        <w:t xml:space="preserve">следующие </w:t>
      </w:r>
      <w:r w:rsidR="00764466" w:rsidRPr="00AC5AD3">
        <w:rPr>
          <w:rFonts w:ascii="Times New Roman" w:hAnsi="Times New Roman" w:cs="Times New Roman"/>
          <w:sz w:val="34"/>
          <w:szCs w:val="34"/>
        </w:rPr>
        <w:t>нарушения и недостатки:</w:t>
      </w:r>
    </w:p>
    <w:p w14:paraId="0B19B61C" w14:textId="2D045C9D" w:rsidR="00764466" w:rsidRPr="006056C6" w:rsidRDefault="00764466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6056C6">
        <w:rPr>
          <w:rFonts w:ascii="Times New Roman" w:hAnsi="Times New Roman" w:cs="Times New Roman"/>
          <w:sz w:val="34"/>
          <w:szCs w:val="34"/>
        </w:rPr>
        <w:t>-</w:t>
      </w:r>
      <w:r w:rsidR="007714E9" w:rsidRPr="006056C6">
        <w:rPr>
          <w:rFonts w:ascii="Times New Roman" w:hAnsi="Times New Roman" w:cs="Times New Roman"/>
          <w:sz w:val="34"/>
          <w:szCs w:val="34"/>
        </w:rPr>
        <w:t xml:space="preserve"> при исполнении бюджета сельского поселения </w:t>
      </w:r>
      <w:r w:rsidR="00AC5AD3" w:rsidRPr="006056C6">
        <w:rPr>
          <w:rFonts w:ascii="Times New Roman" w:hAnsi="Times New Roman" w:cs="Times New Roman"/>
          <w:sz w:val="34"/>
          <w:szCs w:val="34"/>
        </w:rPr>
        <w:t>допущено образование просроченной кредиторской задолженности</w:t>
      </w:r>
      <w:r w:rsidR="006056C6" w:rsidRPr="006056C6">
        <w:rPr>
          <w:rFonts w:ascii="Times New Roman" w:hAnsi="Times New Roman" w:cs="Times New Roman"/>
          <w:sz w:val="34"/>
          <w:szCs w:val="34"/>
        </w:rPr>
        <w:t xml:space="preserve"> перед подотчетными лицами и поставщиками, подрядчиками в сумме 452,1 тыс. рублей</w:t>
      </w:r>
      <w:r w:rsidR="00AC5AD3" w:rsidRPr="006056C6">
        <w:rPr>
          <w:rFonts w:ascii="Times New Roman" w:hAnsi="Times New Roman" w:cs="Times New Roman"/>
          <w:sz w:val="34"/>
          <w:szCs w:val="34"/>
        </w:rPr>
        <w:t>,</w:t>
      </w:r>
    </w:p>
    <w:p w14:paraId="746C0DFC" w14:textId="2BFD724F" w:rsidR="00086332" w:rsidRPr="00AC5AD3" w:rsidRDefault="00764466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AC5AD3">
        <w:rPr>
          <w:rFonts w:ascii="Times New Roman" w:hAnsi="Times New Roman" w:cs="Times New Roman"/>
          <w:sz w:val="34"/>
          <w:szCs w:val="34"/>
        </w:rPr>
        <w:t>-</w:t>
      </w:r>
      <w:r w:rsidR="00987B95" w:rsidRPr="00AC5AD3">
        <w:rPr>
          <w:rFonts w:ascii="Times New Roman" w:hAnsi="Times New Roman" w:cs="Times New Roman"/>
          <w:sz w:val="34"/>
          <w:szCs w:val="34"/>
        </w:rPr>
        <w:t xml:space="preserve"> </w:t>
      </w:r>
      <w:r w:rsidR="0001165B" w:rsidRPr="00AC5AD3">
        <w:rPr>
          <w:rFonts w:ascii="Times New Roman" w:hAnsi="Times New Roman" w:cs="Times New Roman"/>
          <w:sz w:val="34"/>
          <w:szCs w:val="34"/>
        </w:rPr>
        <w:t>неэффективное использование бюджетных средств</w:t>
      </w:r>
      <w:r w:rsidR="00086332" w:rsidRPr="00AC5AD3">
        <w:rPr>
          <w:rFonts w:ascii="Times New Roman" w:hAnsi="Times New Roman" w:cs="Times New Roman"/>
          <w:sz w:val="34"/>
          <w:szCs w:val="34"/>
        </w:rPr>
        <w:t>, в виде оплаты штрафных санкций</w:t>
      </w:r>
      <w:r w:rsidRPr="00AC5AD3">
        <w:rPr>
          <w:rFonts w:ascii="Times New Roman" w:hAnsi="Times New Roman" w:cs="Times New Roman"/>
          <w:sz w:val="34"/>
          <w:szCs w:val="34"/>
        </w:rPr>
        <w:t xml:space="preserve"> – </w:t>
      </w:r>
      <w:r w:rsidR="00AC5AD3" w:rsidRPr="00AC5AD3">
        <w:rPr>
          <w:rFonts w:ascii="Times New Roman" w:hAnsi="Times New Roman" w:cs="Times New Roman"/>
          <w:sz w:val="34"/>
          <w:szCs w:val="34"/>
        </w:rPr>
        <w:t>0,1</w:t>
      </w:r>
      <w:r w:rsidRPr="00AC5AD3">
        <w:rPr>
          <w:rFonts w:ascii="Times New Roman" w:hAnsi="Times New Roman" w:cs="Times New Roman"/>
          <w:sz w:val="34"/>
          <w:szCs w:val="34"/>
        </w:rPr>
        <w:t xml:space="preserve"> тыс. рублей</w:t>
      </w:r>
      <w:r w:rsidR="00086332" w:rsidRPr="00AC5AD3">
        <w:rPr>
          <w:rFonts w:ascii="Times New Roman" w:hAnsi="Times New Roman" w:cs="Times New Roman"/>
          <w:sz w:val="34"/>
          <w:szCs w:val="34"/>
        </w:rPr>
        <w:t>,</w:t>
      </w:r>
      <w:r w:rsidR="00AB0581" w:rsidRPr="00AC5AD3">
        <w:rPr>
          <w:rFonts w:ascii="Times New Roman" w:hAnsi="Times New Roman" w:cs="Times New Roman"/>
          <w:sz w:val="34"/>
          <w:szCs w:val="34"/>
        </w:rPr>
        <w:t xml:space="preserve"> </w:t>
      </w:r>
      <w:r w:rsidR="00086332" w:rsidRPr="00AC5AD3">
        <w:rPr>
          <w:rFonts w:ascii="Times New Roman" w:hAnsi="Times New Roman" w:cs="Times New Roman"/>
          <w:sz w:val="34"/>
          <w:szCs w:val="34"/>
        </w:rPr>
        <w:t xml:space="preserve"> </w:t>
      </w:r>
    </w:p>
    <w:p w14:paraId="70617720" w14:textId="7791BD3D" w:rsidR="00136DC5" w:rsidRPr="006056C6" w:rsidRDefault="00086332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6056C6">
        <w:rPr>
          <w:rFonts w:ascii="Times New Roman" w:hAnsi="Times New Roman" w:cs="Times New Roman"/>
          <w:sz w:val="34"/>
          <w:szCs w:val="34"/>
        </w:rPr>
        <w:lastRenderedPageBreak/>
        <w:t>-</w:t>
      </w:r>
      <w:r w:rsidR="00987B95" w:rsidRPr="006056C6">
        <w:rPr>
          <w:rFonts w:ascii="Times New Roman" w:hAnsi="Times New Roman" w:cs="Times New Roman"/>
          <w:sz w:val="34"/>
          <w:szCs w:val="34"/>
        </w:rPr>
        <w:t xml:space="preserve"> </w:t>
      </w:r>
      <w:r w:rsidR="006056C6" w:rsidRPr="006056C6">
        <w:rPr>
          <w:rFonts w:ascii="Times New Roman" w:hAnsi="Times New Roman" w:cs="Times New Roman"/>
          <w:sz w:val="34"/>
          <w:szCs w:val="34"/>
        </w:rPr>
        <w:t>недостача материальных ценностей</w:t>
      </w:r>
      <w:r w:rsidR="00136DC5" w:rsidRPr="006056C6">
        <w:rPr>
          <w:rFonts w:ascii="Times New Roman" w:hAnsi="Times New Roman" w:cs="Times New Roman"/>
          <w:sz w:val="34"/>
          <w:szCs w:val="34"/>
        </w:rPr>
        <w:t xml:space="preserve"> в сумме </w:t>
      </w:r>
      <w:r w:rsidR="006056C6" w:rsidRPr="006056C6">
        <w:rPr>
          <w:rFonts w:ascii="Times New Roman" w:hAnsi="Times New Roman" w:cs="Times New Roman"/>
          <w:sz w:val="34"/>
          <w:szCs w:val="34"/>
        </w:rPr>
        <w:t>44,6</w:t>
      </w:r>
      <w:r w:rsidR="00136DC5" w:rsidRPr="006056C6">
        <w:rPr>
          <w:rFonts w:ascii="Times New Roman" w:hAnsi="Times New Roman" w:cs="Times New Roman"/>
          <w:sz w:val="34"/>
          <w:szCs w:val="34"/>
        </w:rPr>
        <w:t xml:space="preserve"> тыс. рублей,</w:t>
      </w:r>
    </w:p>
    <w:p w14:paraId="101839E7" w14:textId="57143CF8" w:rsidR="00136DC5" w:rsidRPr="00AC5AD3" w:rsidRDefault="00136DC5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AC5AD3">
        <w:rPr>
          <w:rFonts w:ascii="Times New Roman" w:hAnsi="Times New Roman" w:cs="Times New Roman"/>
          <w:sz w:val="34"/>
          <w:szCs w:val="34"/>
        </w:rPr>
        <w:t>-</w:t>
      </w:r>
      <w:r w:rsidR="00987B95" w:rsidRPr="00AC5AD3">
        <w:rPr>
          <w:rFonts w:ascii="Times New Roman" w:hAnsi="Times New Roman" w:cs="Times New Roman"/>
          <w:sz w:val="34"/>
          <w:szCs w:val="34"/>
        </w:rPr>
        <w:t xml:space="preserve"> </w:t>
      </w:r>
      <w:r w:rsidRPr="00AC5AD3">
        <w:rPr>
          <w:rFonts w:ascii="Times New Roman" w:hAnsi="Times New Roman" w:cs="Times New Roman"/>
          <w:sz w:val="34"/>
          <w:szCs w:val="34"/>
        </w:rPr>
        <w:t>нарушение правил ведения бюджетного учета,</w:t>
      </w:r>
    </w:p>
    <w:p w14:paraId="0C720C04" w14:textId="49DC4ECA" w:rsidR="00086332" w:rsidRPr="00DC44B3" w:rsidRDefault="00136DC5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DC44B3">
        <w:rPr>
          <w:rFonts w:ascii="Times New Roman" w:hAnsi="Times New Roman" w:cs="Times New Roman"/>
          <w:sz w:val="34"/>
          <w:szCs w:val="34"/>
        </w:rPr>
        <w:t>-</w:t>
      </w:r>
      <w:r w:rsidR="00987B95" w:rsidRPr="00DC44B3">
        <w:rPr>
          <w:rFonts w:ascii="Times New Roman" w:hAnsi="Times New Roman" w:cs="Times New Roman"/>
          <w:sz w:val="34"/>
          <w:szCs w:val="34"/>
        </w:rPr>
        <w:t xml:space="preserve"> </w:t>
      </w:r>
      <w:r w:rsidRPr="00DC44B3">
        <w:rPr>
          <w:rFonts w:ascii="Times New Roman" w:hAnsi="Times New Roman" w:cs="Times New Roman"/>
          <w:sz w:val="34"/>
          <w:szCs w:val="34"/>
        </w:rPr>
        <w:t xml:space="preserve">допущено принятие бюджетных обязательств при отсутствии доведенных лимитов бюджетных обязательств (нарушены статьи 162 и 219 БК РФ) в сумме </w:t>
      </w:r>
      <w:r w:rsidR="00DF3FEA">
        <w:rPr>
          <w:rFonts w:ascii="Times New Roman" w:hAnsi="Times New Roman" w:cs="Times New Roman"/>
          <w:sz w:val="34"/>
          <w:szCs w:val="34"/>
        </w:rPr>
        <w:t xml:space="preserve">1266,9 </w:t>
      </w:r>
      <w:r w:rsidRPr="00DC44B3">
        <w:rPr>
          <w:rFonts w:ascii="Times New Roman" w:hAnsi="Times New Roman" w:cs="Times New Roman"/>
          <w:sz w:val="34"/>
          <w:szCs w:val="34"/>
        </w:rPr>
        <w:t xml:space="preserve">тыс. рублей. </w:t>
      </w:r>
      <w:r w:rsidR="00086332" w:rsidRPr="00DC44B3">
        <w:rPr>
          <w:rFonts w:ascii="Times New Roman" w:hAnsi="Times New Roman" w:cs="Times New Roman"/>
          <w:sz w:val="34"/>
          <w:szCs w:val="34"/>
        </w:rPr>
        <w:t xml:space="preserve">  </w:t>
      </w:r>
    </w:p>
    <w:p w14:paraId="636D8CF0" w14:textId="77777777" w:rsidR="00DC44B3" w:rsidRDefault="00DC44B3" w:rsidP="00DC4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По результатам контрольного мероприятия были составлены представление и протокол об административном правонарушении, ответственность за которое предусмотрена статьей 15.15.10 Кодекса Российской Федерации об административных правонарушениях.</w:t>
      </w:r>
    </w:p>
    <w:p w14:paraId="7CC4C4C7" w14:textId="5A30721A" w:rsidR="00DC44B3" w:rsidRDefault="00DC44B3" w:rsidP="00DC4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Протокол об административном правонарушении и материалы по административному правонарушению в отношении главы сельского поселения были направлены мировому судье для принятия решения.</w:t>
      </w:r>
    </w:p>
    <w:p w14:paraId="571028F9" w14:textId="0931E014" w:rsidR="00D557F5" w:rsidRDefault="00D557F5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В июне</w:t>
      </w:r>
      <w:r w:rsidR="00DC44B3">
        <w:rPr>
          <w:rFonts w:ascii="Times New Roman" w:hAnsi="Times New Roman" w:cs="Times New Roman"/>
          <w:sz w:val="34"/>
          <w:szCs w:val="34"/>
        </w:rPr>
        <w:t xml:space="preserve"> </w:t>
      </w:r>
      <w:r>
        <w:rPr>
          <w:rFonts w:ascii="Times New Roman" w:hAnsi="Times New Roman" w:cs="Times New Roman"/>
          <w:sz w:val="34"/>
          <w:szCs w:val="34"/>
        </w:rPr>
        <w:t>20</w:t>
      </w:r>
      <w:r w:rsidR="00DC44B3">
        <w:rPr>
          <w:rFonts w:ascii="Times New Roman" w:hAnsi="Times New Roman" w:cs="Times New Roman"/>
          <w:sz w:val="34"/>
          <w:szCs w:val="34"/>
        </w:rPr>
        <w:t>20</w:t>
      </w:r>
      <w:r>
        <w:rPr>
          <w:rFonts w:ascii="Times New Roman" w:hAnsi="Times New Roman" w:cs="Times New Roman"/>
          <w:sz w:val="34"/>
          <w:szCs w:val="34"/>
        </w:rPr>
        <w:t xml:space="preserve"> года проведен</w:t>
      </w:r>
      <w:r w:rsidR="00DC44B3">
        <w:rPr>
          <w:rFonts w:ascii="Times New Roman" w:hAnsi="Times New Roman" w:cs="Times New Roman"/>
          <w:sz w:val="34"/>
          <w:szCs w:val="34"/>
        </w:rPr>
        <w:t>а</w:t>
      </w:r>
      <w:r>
        <w:rPr>
          <w:rFonts w:ascii="Times New Roman" w:hAnsi="Times New Roman" w:cs="Times New Roman"/>
          <w:sz w:val="34"/>
          <w:szCs w:val="34"/>
        </w:rPr>
        <w:t xml:space="preserve"> проверк</w:t>
      </w:r>
      <w:r w:rsidR="00DC44B3">
        <w:rPr>
          <w:rFonts w:ascii="Times New Roman" w:hAnsi="Times New Roman" w:cs="Times New Roman"/>
          <w:sz w:val="34"/>
          <w:szCs w:val="34"/>
        </w:rPr>
        <w:t>а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  <w:r w:rsidR="00DC44B3">
        <w:rPr>
          <w:rFonts w:ascii="Times New Roman" w:hAnsi="Times New Roman" w:cs="Times New Roman"/>
          <w:sz w:val="34"/>
          <w:szCs w:val="34"/>
        </w:rPr>
        <w:t>обоснованности, эффективности и целевого использования бюджетных средств в администрации сельского поселения Дуровский сельсовет</w:t>
      </w:r>
      <w:r>
        <w:rPr>
          <w:rFonts w:ascii="Times New Roman" w:hAnsi="Times New Roman" w:cs="Times New Roman"/>
          <w:sz w:val="34"/>
          <w:szCs w:val="34"/>
        </w:rPr>
        <w:t xml:space="preserve">. Объем проверенных средств составил </w:t>
      </w:r>
      <w:r w:rsidR="00DC44B3">
        <w:rPr>
          <w:rFonts w:ascii="Times New Roman" w:hAnsi="Times New Roman" w:cs="Times New Roman"/>
          <w:sz w:val="34"/>
          <w:szCs w:val="34"/>
        </w:rPr>
        <w:t>8234,0</w:t>
      </w:r>
      <w:r>
        <w:rPr>
          <w:rFonts w:ascii="Times New Roman" w:hAnsi="Times New Roman" w:cs="Times New Roman"/>
          <w:sz w:val="34"/>
          <w:szCs w:val="34"/>
        </w:rPr>
        <w:t xml:space="preserve"> тыс. рублей.</w:t>
      </w:r>
      <w:r w:rsidR="0020334A">
        <w:rPr>
          <w:rFonts w:ascii="Times New Roman" w:hAnsi="Times New Roman" w:cs="Times New Roman"/>
          <w:sz w:val="34"/>
          <w:szCs w:val="34"/>
        </w:rPr>
        <w:t xml:space="preserve"> </w:t>
      </w:r>
    </w:p>
    <w:p w14:paraId="2200C2C8" w14:textId="165B17BA" w:rsidR="0020365B" w:rsidRDefault="00317749" w:rsidP="003177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О</w:t>
      </w:r>
      <w:r w:rsidR="0020334A">
        <w:rPr>
          <w:rFonts w:ascii="Times New Roman" w:hAnsi="Times New Roman" w:cs="Times New Roman"/>
          <w:sz w:val="34"/>
          <w:szCs w:val="34"/>
        </w:rPr>
        <w:t>сновным</w:t>
      </w:r>
      <w:r>
        <w:rPr>
          <w:rFonts w:ascii="Times New Roman" w:hAnsi="Times New Roman" w:cs="Times New Roman"/>
          <w:sz w:val="34"/>
          <w:szCs w:val="34"/>
        </w:rPr>
        <w:t>и</w:t>
      </w:r>
      <w:r w:rsidR="0020334A">
        <w:rPr>
          <w:rFonts w:ascii="Times New Roman" w:hAnsi="Times New Roman" w:cs="Times New Roman"/>
          <w:sz w:val="34"/>
          <w:szCs w:val="34"/>
        </w:rPr>
        <w:t xml:space="preserve"> нарушени</w:t>
      </w:r>
      <w:r>
        <w:rPr>
          <w:rFonts w:ascii="Times New Roman" w:hAnsi="Times New Roman" w:cs="Times New Roman"/>
          <w:sz w:val="34"/>
          <w:szCs w:val="34"/>
        </w:rPr>
        <w:t>ями</w:t>
      </w:r>
      <w:r w:rsidR="0020334A">
        <w:rPr>
          <w:rFonts w:ascii="Times New Roman" w:hAnsi="Times New Roman" w:cs="Times New Roman"/>
          <w:sz w:val="34"/>
          <w:szCs w:val="34"/>
        </w:rPr>
        <w:t xml:space="preserve"> </w:t>
      </w:r>
      <w:r>
        <w:rPr>
          <w:rFonts w:ascii="Times New Roman" w:hAnsi="Times New Roman" w:cs="Times New Roman"/>
          <w:sz w:val="34"/>
          <w:szCs w:val="34"/>
        </w:rPr>
        <w:t>в ходе провер</w:t>
      </w:r>
      <w:r w:rsidR="00101D5E">
        <w:rPr>
          <w:rFonts w:ascii="Times New Roman" w:hAnsi="Times New Roman" w:cs="Times New Roman"/>
          <w:sz w:val="34"/>
          <w:szCs w:val="34"/>
        </w:rPr>
        <w:t>ки</w:t>
      </w:r>
      <w:r>
        <w:rPr>
          <w:rFonts w:ascii="Times New Roman" w:hAnsi="Times New Roman" w:cs="Times New Roman"/>
          <w:sz w:val="34"/>
          <w:szCs w:val="34"/>
        </w:rPr>
        <w:t xml:space="preserve"> явились</w:t>
      </w:r>
      <w:r w:rsidR="0020365B">
        <w:rPr>
          <w:rFonts w:ascii="Times New Roman" w:hAnsi="Times New Roman" w:cs="Times New Roman"/>
          <w:sz w:val="34"/>
          <w:szCs w:val="34"/>
        </w:rPr>
        <w:t>:</w:t>
      </w:r>
    </w:p>
    <w:p w14:paraId="123D42D5" w14:textId="1D311E51" w:rsidR="00317749" w:rsidRPr="00262D23" w:rsidRDefault="0020365B" w:rsidP="003177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62D23">
        <w:rPr>
          <w:rFonts w:ascii="Times New Roman" w:hAnsi="Times New Roman" w:cs="Times New Roman"/>
          <w:sz w:val="34"/>
          <w:szCs w:val="34"/>
        </w:rPr>
        <w:t>-</w:t>
      </w:r>
      <w:r w:rsidR="00987B95" w:rsidRPr="00262D23">
        <w:rPr>
          <w:rFonts w:ascii="Times New Roman" w:hAnsi="Times New Roman" w:cs="Times New Roman"/>
          <w:sz w:val="34"/>
          <w:szCs w:val="34"/>
        </w:rPr>
        <w:t xml:space="preserve"> </w:t>
      </w:r>
      <w:r w:rsidR="00317749" w:rsidRPr="00262D23">
        <w:rPr>
          <w:rFonts w:ascii="Times New Roman" w:hAnsi="Times New Roman" w:cs="Times New Roman"/>
          <w:sz w:val="34"/>
          <w:szCs w:val="34"/>
        </w:rPr>
        <w:t xml:space="preserve">нарушения ведения </w:t>
      </w:r>
      <w:r w:rsidR="00DC44B3" w:rsidRPr="00262D23">
        <w:rPr>
          <w:rFonts w:ascii="Times New Roman" w:hAnsi="Times New Roman" w:cs="Times New Roman"/>
          <w:sz w:val="34"/>
          <w:szCs w:val="34"/>
        </w:rPr>
        <w:t>бюджетного</w:t>
      </w:r>
      <w:r w:rsidR="00317749" w:rsidRPr="00262D23">
        <w:rPr>
          <w:rFonts w:ascii="Times New Roman" w:hAnsi="Times New Roman" w:cs="Times New Roman"/>
          <w:sz w:val="34"/>
          <w:szCs w:val="34"/>
        </w:rPr>
        <w:t xml:space="preserve"> учета, </w:t>
      </w:r>
    </w:p>
    <w:p w14:paraId="2DA72DD4" w14:textId="6E026461" w:rsidR="00D51F3B" w:rsidRDefault="00DC44B3" w:rsidP="00D51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DC44B3">
        <w:rPr>
          <w:rFonts w:ascii="Times New Roman" w:hAnsi="Times New Roman" w:cs="Times New Roman"/>
          <w:sz w:val="34"/>
          <w:szCs w:val="34"/>
        </w:rPr>
        <w:t xml:space="preserve">- </w:t>
      </w:r>
      <w:r>
        <w:rPr>
          <w:rFonts w:ascii="Times New Roman" w:hAnsi="Times New Roman" w:cs="Times New Roman"/>
          <w:sz w:val="34"/>
          <w:szCs w:val="34"/>
        </w:rPr>
        <w:t xml:space="preserve">бюджетные средства расходуются с нарушением принципа эффективности, установленного статьей 34 Бюджетного кодекса РФ, в результате </w:t>
      </w:r>
      <w:r w:rsidRPr="00DC44B3">
        <w:rPr>
          <w:rFonts w:ascii="Times New Roman" w:hAnsi="Times New Roman" w:cs="Times New Roman"/>
          <w:sz w:val="34"/>
          <w:szCs w:val="34"/>
        </w:rPr>
        <w:t>отвлечени</w:t>
      </w:r>
      <w:r>
        <w:rPr>
          <w:rFonts w:ascii="Times New Roman" w:hAnsi="Times New Roman" w:cs="Times New Roman"/>
          <w:sz w:val="34"/>
          <w:szCs w:val="34"/>
        </w:rPr>
        <w:t>я</w:t>
      </w:r>
      <w:r w:rsidRPr="00DC44B3">
        <w:rPr>
          <w:rFonts w:ascii="Times New Roman" w:hAnsi="Times New Roman" w:cs="Times New Roman"/>
          <w:sz w:val="34"/>
          <w:szCs w:val="34"/>
        </w:rPr>
        <w:t xml:space="preserve"> бюджетных </w:t>
      </w:r>
      <w:r w:rsidRPr="00DC44B3">
        <w:rPr>
          <w:rFonts w:ascii="Times New Roman" w:hAnsi="Times New Roman" w:cs="Times New Roman"/>
          <w:sz w:val="34"/>
          <w:szCs w:val="34"/>
        </w:rPr>
        <w:lastRenderedPageBreak/>
        <w:t>средств в дебиторскую задолженность при перечислении авансовых платежей за поставку материальных ценностей, т.е. в течение проверяемого периода не были приняты меры к погашению дебиторской задолженности в сумме 18,3 тыс. рублей,</w:t>
      </w:r>
      <w:r w:rsidR="00D51F3B" w:rsidRPr="00D51F3B">
        <w:rPr>
          <w:rFonts w:ascii="Times New Roman" w:hAnsi="Times New Roman" w:cs="Times New Roman"/>
          <w:sz w:val="34"/>
          <w:szCs w:val="34"/>
        </w:rPr>
        <w:t xml:space="preserve"> </w:t>
      </w:r>
      <w:r w:rsidR="00D51F3B" w:rsidRPr="00DC44B3">
        <w:rPr>
          <w:rFonts w:ascii="Times New Roman" w:hAnsi="Times New Roman" w:cs="Times New Roman"/>
          <w:sz w:val="34"/>
          <w:szCs w:val="34"/>
        </w:rPr>
        <w:t>в виде оплаты штрафных санкций – 0,2 тыс. рублей,</w:t>
      </w:r>
    </w:p>
    <w:p w14:paraId="65B503B1" w14:textId="2A7589CB" w:rsidR="00361F47" w:rsidRPr="00262D23" w:rsidRDefault="00361F47" w:rsidP="003177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62D23">
        <w:rPr>
          <w:rFonts w:ascii="Times New Roman" w:hAnsi="Times New Roman" w:cs="Times New Roman"/>
          <w:sz w:val="34"/>
          <w:szCs w:val="34"/>
        </w:rPr>
        <w:t>-</w:t>
      </w:r>
      <w:r w:rsidR="00987B95" w:rsidRPr="00262D23">
        <w:rPr>
          <w:rFonts w:ascii="Times New Roman" w:hAnsi="Times New Roman" w:cs="Times New Roman"/>
          <w:sz w:val="34"/>
          <w:szCs w:val="34"/>
        </w:rPr>
        <w:t xml:space="preserve"> </w:t>
      </w:r>
      <w:r w:rsidRPr="00262D23">
        <w:rPr>
          <w:rFonts w:ascii="Times New Roman" w:hAnsi="Times New Roman" w:cs="Times New Roman"/>
          <w:sz w:val="34"/>
          <w:szCs w:val="34"/>
        </w:rPr>
        <w:t xml:space="preserve">неэффективное использование муниципального имущества (не используется в деятельности учреждений и </w:t>
      </w:r>
      <w:r w:rsidR="00262D23" w:rsidRPr="00262D23">
        <w:rPr>
          <w:rFonts w:ascii="Times New Roman" w:hAnsi="Times New Roman" w:cs="Times New Roman"/>
          <w:sz w:val="34"/>
          <w:szCs w:val="34"/>
        </w:rPr>
        <w:t>не подлежит дальнейшей эксплуатации</w:t>
      </w:r>
      <w:r w:rsidRPr="00262D23">
        <w:rPr>
          <w:rFonts w:ascii="Times New Roman" w:hAnsi="Times New Roman" w:cs="Times New Roman"/>
          <w:sz w:val="34"/>
          <w:szCs w:val="34"/>
        </w:rPr>
        <w:t>),</w:t>
      </w:r>
    </w:p>
    <w:p w14:paraId="5606B956" w14:textId="0F358D97" w:rsidR="00AC5AD3" w:rsidRPr="00262D23" w:rsidRDefault="00361F47" w:rsidP="00AC5A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62D23">
        <w:rPr>
          <w:rFonts w:ascii="Times New Roman" w:hAnsi="Times New Roman" w:cs="Times New Roman"/>
          <w:sz w:val="34"/>
          <w:szCs w:val="34"/>
        </w:rPr>
        <w:t>-</w:t>
      </w:r>
      <w:r w:rsidR="00987B95" w:rsidRPr="00262D23">
        <w:rPr>
          <w:rFonts w:ascii="Times New Roman" w:hAnsi="Times New Roman" w:cs="Times New Roman"/>
          <w:sz w:val="34"/>
          <w:szCs w:val="34"/>
        </w:rPr>
        <w:t xml:space="preserve"> </w:t>
      </w:r>
      <w:r w:rsidR="00262D23" w:rsidRPr="00262D23">
        <w:rPr>
          <w:rFonts w:ascii="Times New Roman" w:hAnsi="Times New Roman" w:cs="Times New Roman"/>
          <w:sz w:val="34"/>
          <w:szCs w:val="34"/>
        </w:rPr>
        <w:t>необоснованное использование бюджетных средств в сумме 62,8 тыс. рублей (в заключенных договорах на оказание услуг отсутствуют существенные условия договора, а именно, место оказания услуг и объем работы)</w:t>
      </w:r>
      <w:r w:rsidRPr="00262D23">
        <w:rPr>
          <w:rFonts w:ascii="Times New Roman" w:hAnsi="Times New Roman" w:cs="Times New Roman"/>
          <w:sz w:val="34"/>
          <w:szCs w:val="34"/>
        </w:rPr>
        <w:t>.</w:t>
      </w:r>
      <w:r w:rsidR="00AC5AD3" w:rsidRPr="00262D23">
        <w:rPr>
          <w:rFonts w:ascii="Times New Roman" w:hAnsi="Times New Roman" w:cs="Times New Roman"/>
          <w:sz w:val="34"/>
          <w:szCs w:val="34"/>
        </w:rPr>
        <w:t xml:space="preserve"> </w:t>
      </w:r>
    </w:p>
    <w:p w14:paraId="0E7A54C9" w14:textId="4D9C8F96" w:rsidR="00361F47" w:rsidRDefault="00361F47" w:rsidP="00361F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По итог</w:t>
      </w:r>
      <w:r w:rsidR="00262D23">
        <w:rPr>
          <w:rFonts w:ascii="Times New Roman" w:hAnsi="Times New Roman" w:cs="Times New Roman"/>
          <w:sz w:val="34"/>
          <w:szCs w:val="34"/>
        </w:rPr>
        <w:t>у</w:t>
      </w:r>
      <w:r>
        <w:rPr>
          <w:rFonts w:ascii="Times New Roman" w:hAnsi="Times New Roman" w:cs="Times New Roman"/>
          <w:sz w:val="34"/>
          <w:szCs w:val="34"/>
        </w:rPr>
        <w:t xml:space="preserve"> проведенн</w:t>
      </w:r>
      <w:r w:rsidR="00262D23">
        <w:rPr>
          <w:rFonts w:ascii="Times New Roman" w:hAnsi="Times New Roman" w:cs="Times New Roman"/>
          <w:sz w:val="34"/>
          <w:szCs w:val="34"/>
        </w:rPr>
        <w:t>ой</w:t>
      </w:r>
      <w:r>
        <w:rPr>
          <w:rFonts w:ascii="Times New Roman" w:hAnsi="Times New Roman" w:cs="Times New Roman"/>
          <w:sz w:val="34"/>
          <w:szCs w:val="34"/>
        </w:rPr>
        <w:t xml:space="preserve"> проверк</w:t>
      </w:r>
      <w:r w:rsidR="00262D23">
        <w:rPr>
          <w:rFonts w:ascii="Times New Roman" w:hAnsi="Times New Roman" w:cs="Times New Roman"/>
          <w:sz w:val="34"/>
          <w:szCs w:val="34"/>
        </w:rPr>
        <w:t>и</w:t>
      </w:r>
      <w:r>
        <w:rPr>
          <w:rFonts w:ascii="Times New Roman" w:hAnsi="Times New Roman" w:cs="Times New Roman"/>
          <w:sz w:val="34"/>
          <w:szCs w:val="34"/>
        </w:rPr>
        <w:t xml:space="preserve"> был</w:t>
      </w:r>
      <w:r w:rsidR="00262D23">
        <w:rPr>
          <w:rFonts w:ascii="Times New Roman" w:hAnsi="Times New Roman" w:cs="Times New Roman"/>
          <w:sz w:val="34"/>
          <w:szCs w:val="34"/>
        </w:rPr>
        <w:t>о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  <w:r w:rsidR="00DF2AC8">
        <w:rPr>
          <w:rFonts w:ascii="Times New Roman" w:hAnsi="Times New Roman" w:cs="Times New Roman"/>
          <w:sz w:val="34"/>
          <w:szCs w:val="34"/>
        </w:rPr>
        <w:t>направлен</w:t>
      </w:r>
      <w:r w:rsidR="00262D23">
        <w:rPr>
          <w:rFonts w:ascii="Times New Roman" w:hAnsi="Times New Roman" w:cs="Times New Roman"/>
          <w:sz w:val="34"/>
          <w:szCs w:val="34"/>
        </w:rPr>
        <w:t>о</w:t>
      </w:r>
      <w:r w:rsidR="00DF2AC8">
        <w:rPr>
          <w:rFonts w:ascii="Times New Roman" w:hAnsi="Times New Roman" w:cs="Times New Roman"/>
          <w:sz w:val="34"/>
          <w:szCs w:val="34"/>
        </w:rPr>
        <w:t xml:space="preserve"> представлени</w:t>
      </w:r>
      <w:r w:rsidR="00262D23">
        <w:rPr>
          <w:rFonts w:ascii="Times New Roman" w:hAnsi="Times New Roman" w:cs="Times New Roman"/>
          <w:sz w:val="34"/>
          <w:szCs w:val="34"/>
        </w:rPr>
        <w:t>е</w:t>
      </w:r>
      <w:r w:rsidR="00DF2AC8">
        <w:rPr>
          <w:rFonts w:ascii="Times New Roman" w:hAnsi="Times New Roman" w:cs="Times New Roman"/>
          <w:sz w:val="34"/>
          <w:szCs w:val="34"/>
        </w:rPr>
        <w:t xml:space="preserve"> и </w:t>
      </w:r>
      <w:r>
        <w:rPr>
          <w:rFonts w:ascii="Times New Roman" w:hAnsi="Times New Roman" w:cs="Times New Roman"/>
          <w:sz w:val="34"/>
          <w:szCs w:val="34"/>
        </w:rPr>
        <w:t xml:space="preserve">даны рекомендации по </w:t>
      </w:r>
      <w:r w:rsidR="00262D23">
        <w:rPr>
          <w:rFonts w:ascii="Times New Roman" w:hAnsi="Times New Roman" w:cs="Times New Roman"/>
          <w:sz w:val="34"/>
          <w:szCs w:val="34"/>
        </w:rPr>
        <w:t>устранению выявленных нарушений и недостатков</w:t>
      </w:r>
      <w:r>
        <w:rPr>
          <w:rFonts w:ascii="Times New Roman" w:hAnsi="Times New Roman" w:cs="Times New Roman"/>
          <w:sz w:val="34"/>
          <w:szCs w:val="34"/>
        </w:rPr>
        <w:t>.</w:t>
      </w:r>
    </w:p>
    <w:p w14:paraId="0A3D56C5" w14:textId="342DC500" w:rsidR="00262D23" w:rsidRDefault="000D4B1D" w:rsidP="00361F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В августе 2020 года проведено совместное с Управлением финансов администрации Добринского муниципального района контрольное мероприятие в МБУК «Добринская ЦКС» по вопросу проверки нормативов штатной численности персонала муниципального учреждения». </w:t>
      </w:r>
      <w:r w:rsidR="0090252C">
        <w:rPr>
          <w:rFonts w:ascii="Times New Roman" w:hAnsi="Times New Roman" w:cs="Times New Roman"/>
          <w:sz w:val="34"/>
          <w:szCs w:val="34"/>
        </w:rPr>
        <w:t xml:space="preserve">В ходе проверки был проведен сравнительный анализ утвержденных структуры, сети и штатов с рекомендуемыми нормативами, утвержденными приказами Минкультуры. По итогам контрольного мероприятия было рекомендовано Отделу культуры и МБУК </w:t>
      </w:r>
      <w:r w:rsidR="00823D64">
        <w:rPr>
          <w:rFonts w:ascii="Times New Roman" w:hAnsi="Times New Roman" w:cs="Times New Roman"/>
          <w:sz w:val="34"/>
          <w:szCs w:val="34"/>
        </w:rPr>
        <w:lastRenderedPageBreak/>
        <w:t>«Добринская ЦКС» провести анализ действующей сети подведомственных учреждений культуры совместно с администрациями сельских поселений сельсоветов, передавших полномочия на уровень муниципального района, рассмотреть вопрос об оптимизации сети учреждений.</w:t>
      </w:r>
    </w:p>
    <w:p w14:paraId="5AEB6777" w14:textId="7820715E" w:rsidR="00823D64" w:rsidRDefault="00823D64" w:rsidP="00361F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В 2020 году по предложению Главы муниципального района были проведены совместные проверки в двух муниципальных учреждениях культуры – МБУК «Добринская ЦКС» и МБУК «Добринская ЦМС». Общий объем проверенных средств составил 1042,7 тыс. рублей.</w:t>
      </w:r>
    </w:p>
    <w:p w14:paraId="0E403841" w14:textId="58966EB2" w:rsidR="00101D5E" w:rsidRPr="00AC5AD3" w:rsidRDefault="00101D5E" w:rsidP="00101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AC5AD3">
        <w:rPr>
          <w:rFonts w:ascii="Times New Roman" w:hAnsi="Times New Roman" w:cs="Times New Roman"/>
          <w:sz w:val="34"/>
          <w:szCs w:val="34"/>
        </w:rPr>
        <w:t>В ходе контрольн</w:t>
      </w:r>
      <w:r>
        <w:rPr>
          <w:rFonts w:ascii="Times New Roman" w:hAnsi="Times New Roman" w:cs="Times New Roman"/>
          <w:sz w:val="34"/>
          <w:szCs w:val="34"/>
        </w:rPr>
        <w:t>ых</w:t>
      </w:r>
      <w:r w:rsidRPr="00AC5AD3">
        <w:rPr>
          <w:rFonts w:ascii="Times New Roman" w:hAnsi="Times New Roman" w:cs="Times New Roman"/>
          <w:sz w:val="34"/>
          <w:szCs w:val="34"/>
        </w:rPr>
        <w:t xml:space="preserve"> мероприяти</w:t>
      </w:r>
      <w:r>
        <w:rPr>
          <w:rFonts w:ascii="Times New Roman" w:hAnsi="Times New Roman" w:cs="Times New Roman"/>
          <w:sz w:val="34"/>
          <w:szCs w:val="34"/>
        </w:rPr>
        <w:t>й</w:t>
      </w:r>
      <w:r w:rsidRPr="00AC5AD3">
        <w:rPr>
          <w:rFonts w:ascii="Times New Roman" w:hAnsi="Times New Roman" w:cs="Times New Roman"/>
          <w:sz w:val="34"/>
          <w:szCs w:val="34"/>
        </w:rPr>
        <w:t xml:space="preserve"> были установлены следующие нарушения и недостатки:</w:t>
      </w:r>
    </w:p>
    <w:p w14:paraId="0FAA2AFF" w14:textId="013B2619" w:rsidR="00101D5E" w:rsidRDefault="00101D5E" w:rsidP="00361F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- нарушения при формировании муниципального задания,</w:t>
      </w:r>
    </w:p>
    <w:p w14:paraId="55314427" w14:textId="5E8D5B09" w:rsidR="00101D5E" w:rsidRDefault="00101D5E" w:rsidP="00361F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- необоснованные начисления по заработной плате в сумме 128,0 тыс. рублей,</w:t>
      </w:r>
    </w:p>
    <w:p w14:paraId="6FEA4E05" w14:textId="624C59A5" w:rsidR="00101D5E" w:rsidRDefault="00101D5E" w:rsidP="00361F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- образование просроченной кредиторской задолженности в сумме 7,2 тыс. рублей,</w:t>
      </w:r>
    </w:p>
    <w:p w14:paraId="26180C39" w14:textId="31093614" w:rsidR="00101D5E" w:rsidRDefault="00101D5E" w:rsidP="00361F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- нарушения трудового законодательства при оформлении приема на работу и составления трудовых договоров.</w:t>
      </w:r>
    </w:p>
    <w:p w14:paraId="496C5F94" w14:textId="38E3CDFE" w:rsidR="00EF7301" w:rsidRDefault="00EF7301" w:rsidP="00361F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По результатам контрольных мероприятий МБУК «Добринская ЦМС» направлено представление для устранения нарушений, результаты проверки по МБУК «Добринская ЦКС» предоставлены по запросу в группу ЭБиПК ОМВД России по Добринскому району. </w:t>
      </w:r>
    </w:p>
    <w:p w14:paraId="2E829C77" w14:textId="77777777" w:rsidR="00945E86" w:rsidRPr="008417BF" w:rsidRDefault="00BC38BC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3D64">
        <w:rPr>
          <w:rFonts w:ascii="Times New Roman" w:hAnsi="Times New Roman" w:cs="Times New Roman"/>
          <w:sz w:val="34"/>
          <w:szCs w:val="34"/>
        </w:rPr>
        <w:lastRenderedPageBreak/>
        <w:t>О</w:t>
      </w:r>
      <w:r w:rsidRPr="008417BF">
        <w:rPr>
          <w:rFonts w:ascii="Times New Roman" w:hAnsi="Times New Roman" w:cs="Times New Roman"/>
          <w:sz w:val="34"/>
          <w:szCs w:val="34"/>
        </w:rPr>
        <w:t xml:space="preserve"> результатах каждой проведенной проверки информировались </w:t>
      </w:r>
      <w:r w:rsidR="007714E9">
        <w:rPr>
          <w:rFonts w:ascii="Times New Roman" w:hAnsi="Times New Roman" w:cs="Times New Roman"/>
          <w:sz w:val="34"/>
          <w:szCs w:val="34"/>
        </w:rPr>
        <w:t>Г</w:t>
      </w:r>
      <w:r w:rsidR="00945E86" w:rsidRPr="008417BF">
        <w:rPr>
          <w:rFonts w:ascii="Times New Roman" w:hAnsi="Times New Roman" w:cs="Times New Roman"/>
          <w:sz w:val="34"/>
          <w:szCs w:val="34"/>
        </w:rPr>
        <w:t>лав</w:t>
      </w:r>
      <w:r w:rsidRPr="008417BF">
        <w:rPr>
          <w:rFonts w:ascii="Times New Roman" w:hAnsi="Times New Roman" w:cs="Times New Roman"/>
          <w:sz w:val="34"/>
          <w:szCs w:val="34"/>
        </w:rPr>
        <w:t>а</w:t>
      </w:r>
      <w:r w:rsidR="00945E86" w:rsidRPr="008417BF">
        <w:rPr>
          <w:rFonts w:ascii="Times New Roman" w:hAnsi="Times New Roman" w:cs="Times New Roman"/>
          <w:sz w:val="34"/>
          <w:szCs w:val="34"/>
        </w:rPr>
        <w:t xml:space="preserve"> </w:t>
      </w:r>
      <w:r w:rsidR="00E5231C" w:rsidRPr="008417BF">
        <w:rPr>
          <w:rFonts w:ascii="Times New Roman" w:hAnsi="Times New Roman" w:cs="Times New Roman"/>
          <w:sz w:val="34"/>
          <w:szCs w:val="34"/>
        </w:rPr>
        <w:t xml:space="preserve">муниципального </w:t>
      </w:r>
      <w:r w:rsidR="00945E86" w:rsidRPr="008417BF">
        <w:rPr>
          <w:rFonts w:ascii="Times New Roman" w:hAnsi="Times New Roman" w:cs="Times New Roman"/>
          <w:sz w:val="34"/>
          <w:szCs w:val="34"/>
        </w:rPr>
        <w:t>района</w:t>
      </w:r>
      <w:r w:rsidRPr="008417BF">
        <w:rPr>
          <w:rFonts w:ascii="Times New Roman" w:hAnsi="Times New Roman" w:cs="Times New Roman"/>
          <w:sz w:val="34"/>
          <w:szCs w:val="34"/>
        </w:rPr>
        <w:t>,</w:t>
      </w:r>
      <w:r w:rsidR="00945E86" w:rsidRPr="008417BF">
        <w:rPr>
          <w:rFonts w:ascii="Times New Roman" w:hAnsi="Times New Roman" w:cs="Times New Roman"/>
          <w:sz w:val="34"/>
          <w:szCs w:val="34"/>
        </w:rPr>
        <w:t xml:space="preserve"> </w:t>
      </w:r>
      <w:r w:rsidR="007714E9">
        <w:rPr>
          <w:rFonts w:ascii="Times New Roman" w:hAnsi="Times New Roman" w:cs="Times New Roman"/>
          <w:sz w:val="34"/>
          <w:szCs w:val="34"/>
        </w:rPr>
        <w:t>П</w:t>
      </w:r>
      <w:r w:rsidR="00945E86" w:rsidRPr="008417BF">
        <w:rPr>
          <w:rFonts w:ascii="Times New Roman" w:hAnsi="Times New Roman" w:cs="Times New Roman"/>
          <w:sz w:val="34"/>
          <w:szCs w:val="34"/>
        </w:rPr>
        <w:t>редседател</w:t>
      </w:r>
      <w:r w:rsidRPr="008417BF">
        <w:rPr>
          <w:rFonts w:ascii="Times New Roman" w:hAnsi="Times New Roman" w:cs="Times New Roman"/>
          <w:sz w:val="34"/>
          <w:szCs w:val="34"/>
        </w:rPr>
        <w:t>ь</w:t>
      </w:r>
      <w:r w:rsidR="00945E86" w:rsidRPr="008417BF">
        <w:rPr>
          <w:rFonts w:ascii="Times New Roman" w:hAnsi="Times New Roman" w:cs="Times New Roman"/>
          <w:sz w:val="34"/>
          <w:szCs w:val="34"/>
        </w:rPr>
        <w:t xml:space="preserve"> Совета депутатов</w:t>
      </w:r>
      <w:r w:rsidRPr="008417BF">
        <w:rPr>
          <w:rFonts w:ascii="Times New Roman" w:hAnsi="Times New Roman" w:cs="Times New Roman"/>
          <w:sz w:val="34"/>
          <w:szCs w:val="34"/>
        </w:rPr>
        <w:t xml:space="preserve">, руководители </w:t>
      </w:r>
      <w:r w:rsidR="007B797B" w:rsidRPr="008417BF">
        <w:rPr>
          <w:rFonts w:ascii="Times New Roman" w:hAnsi="Times New Roman" w:cs="Times New Roman"/>
          <w:sz w:val="34"/>
          <w:szCs w:val="34"/>
        </w:rPr>
        <w:t>учреждений</w:t>
      </w:r>
      <w:r w:rsidR="00945E86" w:rsidRPr="008417BF">
        <w:rPr>
          <w:rFonts w:ascii="Times New Roman" w:hAnsi="Times New Roman" w:cs="Times New Roman"/>
          <w:sz w:val="34"/>
          <w:szCs w:val="34"/>
        </w:rPr>
        <w:t>.</w:t>
      </w:r>
    </w:p>
    <w:p w14:paraId="5812DCC8" w14:textId="145053A8" w:rsidR="004D5299" w:rsidRDefault="004D5299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Ежегодно, до утверждения отчетов об исполнении бюджетов за истекший календарный год, в соответствии с Бюджетным кодексом РФ, проводится внешняя проверка годовой бюджетной отчетности главных </w:t>
      </w:r>
      <w:r w:rsidR="00EF7301">
        <w:rPr>
          <w:rFonts w:ascii="Times New Roman" w:hAnsi="Times New Roman" w:cs="Times New Roman"/>
          <w:sz w:val="34"/>
          <w:szCs w:val="34"/>
        </w:rPr>
        <w:t>распорядителей</w:t>
      </w:r>
      <w:r>
        <w:rPr>
          <w:rFonts w:ascii="Times New Roman" w:hAnsi="Times New Roman" w:cs="Times New Roman"/>
          <w:sz w:val="34"/>
          <w:szCs w:val="34"/>
        </w:rPr>
        <w:t xml:space="preserve"> бюджетных средств, а также сводного годового отчета об исполнении бюджета муниципального района.</w:t>
      </w:r>
    </w:p>
    <w:p w14:paraId="25340EBD" w14:textId="783C0299" w:rsidR="00B13778" w:rsidRPr="00B13778" w:rsidRDefault="004D5299" w:rsidP="00B13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В 20</w:t>
      </w:r>
      <w:r w:rsidR="00EF7301">
        <w:rPr>
          <w:rFonts w:ascii="Times New Roman" w:hAnsi="Times New Roman" w:cs="Times New Roman"/>
          <w:sz w:val="34"/>
          <w:szCs w:val="34"/>
        </w:rPr>
        <w:t>20</w:t>
      </w:r>
      <w:r>
        <w:rPr>
          <w:rFonts w:ascii="Times New Roman" w:hAnsi="Times New Roman" w:cs="Times New Roman"/>
          <w:sz w:val="34"/>
          <w:szCs w:val="34"/>
        </w:rPr>
        <w:t xml:space="preserve"> году проверена </w:t>
      </w:r>
      <w:r w:rsidR="00944F7B">
        <w:rPr>
          <w:rFonts w:ascii="Times New Roman" w:hAnsi="Times New Roman" w:cs="Times New Roman"/>
          <w:sz w:val="34"/>
          <w:szCs w:val="34"/>
        </w:rPr>
        <w:t xml:space="preserve">годовая </w:t>
      </w:r>
      <w:r w:rsidR="00B13778">
        <w:rPr>
          <w:rFonts w:ascii="Times New Roman" w:hAnsi="Times New Roman" w:cs="Times New Roman"/>
          <w:sz w:val="34"/>
          <w:szCs w:val="34"/>
        </w:rPr>
        <w:t xml:space="preserve">бюджетная </w:t>
      </w:r>
      <w:r>
        <w:rPr>
          <w:rFonts w:ascii="Times New Roman" w:hAnsi="Times New Roman" w:cs="Times New Roman"/>
          <w:sz w:val="34"/>
          <w:szCs w:val="34"/>
        </w:rPr>
        <w:t>отчетность</w:t>
      </w:r>
      <w:r w:rsidR="00944F7B">
        <w:rPr>
          <w:rFonts w:ascii="Times New Roman" w:hAnsi="Times New Roman" w:cs="Times New Roman"/>
          <w:sz w:val="34"/>
          <w:szCs w:val="34"/>
        </w:rPr>
        <w:t xml:space="preserve"> за 201</w:t>
      </w:r>
      <w:r w:rsidR="00EF7301">
        <w:rPr>
          <w:rFonts w:ascii="Times New Roman" w:hAnsi="Times New Roman" w:cs="Times New Roman"/>
          <w:sz w:val="34"/>
          <w:szCs w:val="34"/>
        </w:rPr>
        <w:t>9</w:t>
      </w:r>
      <w:r w:rsidR="00944F7B">
        <w:rPr>
          <w:rFonts w:ascii="Times New Roman" w:hAnsi="Times New Roman" w:cs="Times New Roman"/>
          <w:sz w:val="34"/>
          <w:szCs w:val="34"/>
        </w:rPr>
        <w:t xml:space="preserve"> год у</w:t>
      </w:r>
      <w:r>
        <w:rPr>
          <w:rFonts w:ascii="Times New Roman" w:hAnsi="Times New Roman" w:cs="Times New Roman"/>
          <w:sz w:val="34"/>
          <w:szCs w:val="34"/>
        </w:rPr>
        <w:t xml:space="preserve"> 17-ти главных распорядителей бюджетных средств сельских поселений, 6-ти главных распорядителей средств районного бюджета и 1 сводный годовой отчет об исполнении бюджета муниципального района</w:t>
      </w:r>
      <w:r w:rsidR="00B13778">
        <w:rPr>
          <w:rFonts w:ascii="Times New Roman" w:hAnsi="Times New Roman" w:cs="Times New Roman"/>
          <w:sz w:val="34"/>
          <w:szCs w:val="34"/>
        </w:rPr>
        <w:t xml:space="preserve">, </w:t>
      </w:r>
      <w:r w:rsidR="00B13778" w:rsidRPr="00B13778">
        <w:rPr>
          <w:rFonts w:ascii="Times New Roman" w:hAnsi="Times New Roman" w:cs="Times New Roman"/>
          <w:sz w:val="34"/>
          <w:szCs w:val="34"/>
        </w:rPr>
        <w:t>в ходе которой:</w:t>
      </w:r>
    </w:p>
    <w:p w14:paraId="592624D4" w14:textId="77777777" w:rsidR="00B13778" w:rsidRPr="00B13778" w:rsidRDefault="00B13778" w:rsidP="00B13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B13778">
        <w:rPr>
          <w:rFonts w:ascii="Times New Roman" w:hAnsi="Times New Roman" w:cs="Times New Roman"/>
          <w:sz w:val="34"/>
          <w:szCs w:val="34"/>
        </w:rPr>
        <w:t>- проверено соответствие бюджетной отчетности требований нормативно-правовых актов по составу, содержанию и представлению;</w:t>
      </w:r>
    </w:p>
    <w:p w14:paraId="275FAD63" w14:textId="77777777" w:rsidR="00B13778" w:rsidRPr="00B13778" w:rsidRDefault="00B13778" w:rsidP="00B13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B13778">
        <w:rPr>
          <w:rFonts w:ascii="Times New Roman" w:hAnsi="Times New Roman" w:cs="Times New Roman"/>
          <w:sz w:val="34"/>
          <w:szCs w:val="34"/>
        </w:rPr>
        <w:t>- проведена проверка взаимосвязанных между собой показателей отдельных форм годовой бюджетной отчетности;</w:t>
      </w:r>
    </w:p>
    <w:p w14:paraId="1C8B76AC" w14:textId="77777777" w:rsidR="00B13778" w:rsidRPr="00B13778" w:rsidRDefault="00B13778" w:rsidP="00B13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B13778">
        <w:rPr>
          <w:rFonts w:ascii="Times New Roman" w:hAnsi="Times New Roman" w:cs="Times New Roman"/>
          <w:sz w:val="34"/>
          <w:szCs w:val="34"/>
        </w:rPr>
        <w:t>- проведена проверка соответствия показателей бюджетной отчетности и регистров бухгалтерского учета;</w:t>
      </w:r>
    </w:p>
    <w:p w14:paraId="2D5477CE" w14:textId="2432E808" w:rsidR="00B13778" w:rsidRPr="00B13778" w:rsidRDefault="00B13778" w:rsidP="00B13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B13778">
        <w:rPr>
          <w:rFonts w:ascii="Times New Roman" w:hAnsi="Times New Roman" w:cs="Times New Roman"/>
          <w:sz w:val="34"/>
          <w:szCs w:val="34"/>
        </w:rPr>
        <w:t xml:space="preserve">- проверено соответствие плановых показателей, указанных в отчетности, показателям, </w:t>
      </w:r>
      <w:r>
        <w:rPr>
          <w:rFonts w:ascii="Times New Roman" w:hAnsi="Times New Roman" w:cs="Times New Roman"/>
          <w:sz w:val="34"/>
          <w:szCs w:val="34"/>
        </w:rPr>
        <w:t>утвержденным</w:t>
      </w:r>
      <w:r w:rsidRPr="00B13778">
        <w:rPr>
          <w:rFonts w:ascii="Times New Roman" w:hAnsi="Times New Roman" w:cs="Times New Roman"/>
          <w:sz w:val="34"/>
          <w:szCs w:val="34"/>
        </w:rPr>
        <w:t xml:space="preserve"> </w:t>
      </w:r>
      <w:r w:rsidRPr="00B13778">
        <w:rPr>
          <w:rFonts w:ascii="Times New Roman" w:hAnsi="Times New Roman" w:cs="Times New Roman"/>
          <w:sz w:val="34"/>
          <w:szCs w:val="34"/>
        </w:rPr>
        <w:lastRenderedPageBreak/>
        <w:t>Решени</w:t>
      </w:r>
      <w:r>
        <w:rPr>
          <w:rFonts w:ascii="Times New Roman" w:hAnsi="Times New Roman" w:cs="Times New Roman"/>
          <w:sz w:val="34"/>
          <w:szCs w:val="34"/>
        </w:rPr>
        <w:t>ями</w:t>
      </w:r>
      <w:r w:rsidRPr="00B13778">
        <w:rPr>
          <w:rFonts w:ascii="Times New Roman" w:hAnsi="Times New Roman" w:cs="Times New Roman"/>
          <w:sz w:val="34"/>
          <w:szCs w:val="34"/>
        </w:rPr>
        <w:t xml:space="preserve"> </w:t>
      </w:r>
      <w:r>
        <w:rPr>
          <w:rFonts w:ascii="Times New Roman" w:hAnsi="Times New Roman" w:cs="Times New Roman"/>
          <w:sz w:val="34"/>
          <w:szCs w:val="34"/>
        </w:rPr>
        <w:t>о</w:t>
      </w:r>
      <w:r w:rsidRPr="00B13778">
        <w:rPr>
          <w:rFonts w:ascii="Times New Roman" w:hAnsi="Times New Roman" w:cs="Times New Roman"/>
          <w:sz w:val="34"/>
          <w:szCs w:val="34"/>
        </w:rPr>
        <w:t xml:space="preserve"> Бюджет</w:t>
      </w:r>
      <w:r>
        <w:rPr>
          <w:rFonts w:ascii="Times New Roman" w:hAnsi="Times New Roman" w:cs="Times New Roman"/>
          <w:sz w:val="34"/>
          <w:szCs w:val="34"/>
        </w:rPr>
        <w:t>ах</w:t>
      </w:r>
      <w:r w:rsidRPr="00B13778">
        <w:rPr>
          <w:rFonts w:ascii="Times New Roman" w:hAnsi="Times New Roman" w:cs="Times New Roman"/>
          <w:sz w:val="34"/>
          <w:szCs w:val="34"/>
        </w:rPr>
        <w:t xml:space="preserve"> сельск</w:t>
      </w:r>
      <w:r>
        <w:rPr>
          <w:rFonts w:ascii="Times New Roman" w:hAnsi="Times New Roman" w:cs="Times New Roman"/>
          <w:sz w:val="34"/>
          <w:szCs w:val="34"/>
        </w:rPr>
        <w:t>их</w:t>
      </w:r>
      <w:r w:rsidRPr="00B13778">
        <w:rPr>
          <w:rFonts w:ascii="Times New Roman" w:hAnsi="Times New Roman" w:cs="Times New Roman"/>
          <w:sz w:val="34"/>
          <w:szCs w:val="34"/>
        </w:rPr>
        <w:t xml:space="preserve"> поселени</w:t>
      </w:r>
      <w:r>
        <w:rPr>
          <w:rFonts w:ascii="Times New Roman" w:hAnsi="Times New Roman" w:cs="Times New Roman"/>
          <w:sz w:val="34"/>
          <w:szCs w:val="34"/>
        </w:rPr>
        <w:t>й</w:t>
      </w:r>
      <w:r w:rsidRPr="00B13778">
        <w:rPr>
          <w:rFonts w:ascii="Times New Roman" w:hAnsi="Times New Roman" w:cs="Times New Roman"/>
          <w:sz w:val="34"/>
          <w:szCs w:val="34"/>
        </w:rPr>
        <w:t xml:space="preserve"> с учетом изменений, внесенных в ходе исполнения бюджета;</w:t>
      </w:r>
    </w:p>
    <w:p w14:paraId="1C84F314" w14:textId="77777777" w:rsidR="00B13778" w:rsidRPr="00B13778" w:rsidRDefault="00B13778" w:rsidP="00B13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B13778">
        <w:rPr>
          <w:rFonts w:ascii="Times New Roman" w:hAnsi="Times New Roman" w:cs="Times New Roman"/>
          <w:sz w:val="34"/>
          <w:szCs w:val="34"/>
        </w:rPr>
        <w:t>- проанализировано использование средств бюджета сельского поселения и соблюдение принципов и правил бухгалтерского учета, применяемых при подготовке бюджетной отчетности.</w:t>
      </w:r>
    </w:p>
    <w:p w14:paraId="17E7347B" w14:textId="77777777" w:rsidR="00DF763B" w:rsidRPr="0042081E" w:rsidRDefault="00DF763B" w:rsidP="00DF76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По результатам проверок сделан вывод о достоверности бюджетной отчетности как носителя информации о финансовой деятельности сельских поселений. </w:t>
      </w:r>
      <w:r w:rsidRPr="0042081E">
        <w:rPr>
          <w:rFonts w:ascii="Times New Roman" w:hAnsi="Times New Roman" w:cs="Times New Roman"/>
          <w:sz w:val="34"/>
          <w:szCs w:val="34"/>
        </w:rPr>
        <w:t>При проверке контрольных соотношений между взаимосвязанными показателями форм годовой бюджетной отчетности расхождений не установлено. Фактов недостоверности показателей бюджетной отчетности либо фактов, способных негативно повлиять на достоверность отчетности, не выявлено.</w:t>
      </w:r>
    </w:p>
    <w:p w14:paraId="59832597" w14:textId="1BCB202A" w:rsidR="002A437D" w:rsidRDefault="002A437D" w:rsidP="002A43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B13778">
        <w:rPr>
          <w:rFonts w:ascii="Times New Roman" w:hAnsi="Times New Roman" w:cs="Times New Roman"/>
          <w:sz w:val="34"/>
          <w:szCs w:val="34"/>
        </w:rPr>
        <w:t xml:space="preserve">Однако, в </w:t>
      </w:r>
      <w:r>
        <w:rPr>
          <w:rFonts w:ascii="Times New Roman" w:hAnsi="Times New Roman" w:cs="Times New Roman"/>
          <w:sz w:val="34"/>
          <w:szCs w:val="34"/>
        </w:rPr>
        <w:t>ходе проверки был</w:t>
      </w:r>
      <w:r w:rsidR="00622B63">
        <w:rPr>
          <w:rFonts w:ascii="Times New Roman" w:hAnsi="Times New Roman" w:cs="Times New Roman"/>
          <w:sz w:val="34"/>
          <w:szCs w:val="34"/>
        </w:rPr>
        <w:t>и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  <w:r w:rsidR="00FE4977">
        <w:rPr>
          <w:rFonts w:ascii="Times New Roman" w:hAnsi="Times New Roman" w:cs="Times New Roman"/>
          <w:sz w:val="34"/>
          <w:szCs w:val="34"/>
        </w:rPr>
        <w:t xml:space="preserve">установлены расхождения между показателями бюджетной отчетности и данными бюджетного учета, </w:t>
      </w:r>
      <w:r w:rsidR="00FE4977" w:rsidRPr="00FE4977">
        <w:rPr>
          <w:rFonts w:ascii="Times New Roman" w:hAnsi="Times New Roman" w:cs="Times New Roman"/>
          <w:sz w:val="34"/>
          <w:szCs w:val="34"/>
        </w:rPr>
        <w:t>что является нарушением п.7, п.188 Инструкции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Минфина России от 28.12.2010 N 191н (ред. от 16.11.2016)</w:t>
      </w:r>
      <w:r w:rsidR="00FE4977">
        <w:rPr>
          <w:rFonts w:ascii="Times New Roman" w:hAnsi="Times New Roman" w:cs="Times New Roman"/>
          <w:sz w:val="34"/>
          <w:szCs w:val="34"/>
        </w:rPr>
        <w:t xml:space="preserve"> </w:t>
      </w:r>
      <w:r w:rsidR="005F32E6">
        <w:rPr>
          <w:rFonts w:ascii="Times New Roman" w:hAnsi="Times New Roman" w:cs="Times New Roman"/>
          <w:sz w:val="34"/>
          <w:szCs w:val="34"/>
        </w:rPr>
        <w:t xml:space="preserve">в </w:t>
      </w:r>
      <w:r w:rsidR="00B13778">
        <w:rPr>
          <w:rFonts w:ascii="Times New Roman" w:hAnsi="Times New Roman" w:cs="Times New Roman"/>
          <w:sz w:val="34"/>
          <w:szCs w:val="34"/>
        </w:rPr>
        <w:t>8</w:t>
      </w:r>
      <w:r w:rsidR="005F32E6">
        <w:rPr>
          <w:rFonts w:ascii="Times New Roman" w:hAnsi="Times New Roman" w:cs="Times New Roman"/>
          <w:sz w:val="34"/>
          <w:szCs w:val="34"/>
        </w:rPr>
        <w:t xml:space="preserve"> </w:t>
      </w:r>
      <w:r w:rsidR="00FE4977">
        <w:rPr>
          <w:rFonts w:ascii="Times New Roman" w:hAnsi="Times New Roman" w:cs="Times New Roman"/>
          <w:sz w:val="34"/>
          <w:szCs w:val="34"/>
        </w:rPr>
        <w:t>администраци</w:t>
      </w:r>
      <w:r w:rsidR="005F32E6">
        <w:rPr>
          <w:rFonts w:ascii="Times New Roman" w:hAnsi="Times New Roman" w:cs="Times New Roman"/>
          <w:sz w:val="34"/>
          <w:szCs w:val="34"/>
        </w:rPr>
        <w:t>ях</w:t>
      </w:r>
      <w:r w:rsidR="00FE4977">
        <w:rPr>
          <w:rFonts w:ascii="Times New Roman" w:hAnsi="Times New Roman" w:cs="Times New Roman"/>
          <w:sz w:val="34"/>
          <w:szCs w:val="34"/>
        </w:rPr>
        <w:t xml:space="preserve"> сельских поселений</w:t>
      </w:r>
      <w:r w:rsidR="005F32E6">
        <w:rPr>
          <w:rFonts w:ascii="Times New Roman" w:hAnsi="Times New Roman" w:cs="Times New Roman"/>
          <w:sz w:val="34"/>
          <w:szCs w:val="34"/>
        </w:rPr>
        <w:t>.</w:t>
      </w:r>
    </w:p>
    <w:p w14:paraId="17460194" w14:textId="6B7DA85D" w:rsidR="00BC4279" w:rsidRDefault="00FE4977" w:rsidP="005F3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Также был отмечен рост недо</w:t>
      </w:r>
      <w:r w:rsidR="00BC4279">
        <w:rPr>
          <w:rFonts w:ascii="Times New Roman" w:hAnsi="Times New Roman" w:cs="Times New Roman"/>
          <w:sz w:val="34"/>
          <w:szCs w:val="34"/>
        </w:rPr>
        <w:t>и</w:t>
      </w:r>
      <w:r>
        <w:rPr>
          <w:rFonts w:ascii="Times New Roman" w:hAnsi="Times New Roman" w:cs="Times New Roman"/>
          <w:sz w:val="34"/>
          <w:szCs w:val="34"/>
        </w:rPr>
        <w:t xml:space="preserve">мки по </w:t>
      </w:r>
      <w:r w:rsidR="00BC4279">
        <w:rPr>
          <w:rFonts w:ascii="Times New Roman" w:hAnsi="Times New Roman" w:cs="Times New Roman"/>
          <w:sz w:val="34"/>
          <w:szCs w:val="34"/>
        </w:rPr>
        <w:t xml:space="preserve">налогам, поступающих в бюджеты сельских поселений, собираемость </w:t>
      </w:r>
      <w:r w:rsidR="00BC4279">
        <w:rPr>
          <w:rFonts w:ascii="Times New Roman" w:hAnsi="Times New Roman" w:cs="Times New Roman"/>
          <w:sz w:val="34"/>
          <w:szCs w:val="34"/>
        </w:rPr>
        <w:lastRenderedPageBreak/>
        <w:t>которых зависит от самих администраций (налог на имущество физических лиц и земельного налога).  Рост недоимки, по сравнению с 201</w:t>
      </w:r>
      <w:r w:rsidR="00B13778">
        <w:rPr>
          <w:rFonts w:ascii="Times New Roman" w:hAnsi="Times New Roman" w:cs="Times New Roman"/>
          <w:sz w:val="34"/>
          <w:szCs w:val="34"/>
        </w:rPr>
        <w:t>8</w:t>
      </w:r>
      <w:r w:rsidR="00BC4279">
        <w:rPr>
          <w:rFonts w:ascii="Times New Roman" w:hAnsi="Times New Roman" w:cs="Times New Roman"/>
          <w:sz w:val="34"/>
          <w:szCs w:val="34"/>
        </w:rPr>
        <w:t xml:space="preserve"> годом, произошел по сельским поселениям:</w:t>
      </w:r>
    </w:p>
    <w:p w14:paraId="2A149B5E" w14:textId="77777777" w:rsidR="00BC4279" w:rsidRPr="00B2523F" w:rsidRDefault="00BC4279" w:rsidP="00B2523F">
      <w:pPr>
        <w:pStyle w:val="a6"/>
        <w:numPr>
          <w:ilvl w:val="0"/>
          <w:numId w:val="5"/>
        </w:numPr>
        <w:spacing w:line="360" w:lineRule="auto"/>
        <w:jc w:val="both"/>
        <w:rPr>
          <w:sz w:val="34"/>
          <w:szCs w:val="34"/>
        </w:rPr>
      </w:pPr>
      <w:r w:rsidRPr="00B2523F">
        <w:rPr>
          <w:sz w:val="34"/>
          <w:szCs w:val="34"/>
        </w:rPr>
        <w:t>Нижнематренский сельсовет,</w:t>
      </w:r>
    </w:p>
    <w:p w14:paraId="739929EE" w14:textId="798D620B" w:rsidR="00BC4279" w:rsidRPr="00B2523F" w:rsidRDefault="00B13778" w:rsidP="00B2523F">
      <w:pPr>
        <w:pStyle w:val="a6"/>
        <w:numPr>
          <w:ilvl w:val="0"/>
          <w:numId w:val="5"/>
        </w:numPr>
        <w:spacing w:line="360" w:lineRule="auto"/>
        <w:jc w:val="both"/>
        <w:rPr>
          <w:sz w:val="34"/>
          <w:szCs w:val="34"/>
        </w:rPr>
      </w:pPr>
      <w:r>
        <w:rPr>
          <w:sz w:val="34"/>
          <w:szCs w:val="34"/>
        </w:rPr>
        <w:t>Талицкий</w:t>
      </w:r>
      <w:r w:rsidR="00BC4279" w:rsidRPr="00B2523F">
        <w:rPr>
          <w:sz w:val="34"/>
          <w:szCs w:val="34"/>
        </w:rPr>
        <w:t xml:space="preserve"> сельсовет,</w:t>
      </w:r>
    </w:p>
    <w:p w14:paraId="55EA85EC" w14:textId="3C634F06" w:rsidR="00BC4279" w:rsidRPr="00B2523F" w:rsidRDefault="00B13778" w:rsidP="00B2523F">
      <w:pPr>
        <w:pStyle w:val="a6"/>
        <w:numPr>
          <w:ilvl w:val="0"/>
          <w:numId w:val="5"/>
        </w:numPr>
        <w:spacing w:line="360" w:lineRule="auto"/>
        <w:jc w:val="both"/>
        <w:rPr>
          <w:sz w:val="34"/>
          <w:szCs w:val="34"/>
        </w:rPr>
      </w:pPr>
      <w:r>
        <w:rPr>
          <w:sz w:val="34"/>
          <w:szCs w:val="34"/>
        </w:rPr>
        <w:t>Тихвинский</w:t>
      </w:r>
      <w:r w:rsidR="00BC4279" w:rsidRPr="00B2523F">
        <w:rPr>
          <w:sz w:val="34"/>
          <w:szCs w:val="34"/>
        </w:rPr>
        <w:t xml:space="preserve"> сельсовет</w:t>
      </w:r>
      <w:r>
        <w:rPr>
          <w:sz w:val="34"/>
          <w:szCs w:val="34"/>
        </w:rPr>
        <w:t>.</w:t>
      </w:r>
    </w:p>
    <w:p w14:paraId="7926F56F" w14:textId="24098D50" w:rsidR="00BC4279" w:rsidRDefault="00BC4279" w:rsidP="00BC4279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В заключениях на годовой отчет Контрольно-счетной комиссией было отмечено низкое поступление собственных доходов в подведомственных автономных учреждениях культуры</w:t>
      </w:r>
      <w:r w:rsidR="001D6D61">
        <w:rPr>
          <w:rFonts w:ascii="Times New Roman" w:hAnsi="Times New Roman" w:cs="Times New Roman"/>
          <w:sz w:val="34"/>
          <w:szCs w:val="34"/>
        </w:rPr>
        <w:t xml:space="preserve"> за 201</w:t>
      </w:r>
      <w:r w:rsidR="00B13778">
        <w:rPr>
          <w:rFonts w:ascii="Times New Roman" w:hAnsi="Times New Roman" w:cs="Times New Roman"/>
          <w:sz w:val="34"/>
          <w:szCs w:val="34"/>
        </w:rPr>
        <w:t>9</w:t>
      </w:r>
      <w:r w:rsidR="001D6D61">
        <w:rPr>
          <w:rFonts w:ascii="Times New Roman" w:hAnsi="Times New Roman" w:cs="Times New Roman"/>
          <w:sz w:val="34"/>
          <w:szCs w:val="34"/>
        </w:rPr>
        <w:t xml:space="preserve"> год</w:t>
      </w:r>
      <w:r>
        <w:rPr>
          <w:rFonts w:ascii="Times New Roman" w:hAnsi="Times New Roman" w:cs="Times New Roman"/>
          <w:sz w:val="34"/>
          <w:szCs w:val="34"/>
        </w:rPr>
        <w:t>, таких как:</w:t>
      </w:r>
    </w:p>
    <w:p w14:paraId="66A28973" w14:textId="2A72F20E" w:rsidR="00BC4279" w:rsidRPr="00B2523F" w:rsidRDefault="00BC4279" w:rsidP="00B2523F">
      <w:pPr>
        <w:pStyle w:val="a6"/>
        <w:numPr>
          <w:ilvl w:val="0"/>
          <w:numId w:val="6"/>
        </w:numPr>
        <w:spacing w:line="360" w:lineRule="auto"/>
        <w:jc w:val="both"/>
        <w:rPr>
          <w:sz w:val="34"/>
          <w:szCs w:val="34"/>
        </w:rPr>
      </w:pPr>
      <w:r w:rsidRPr="00B2523F">
        <w:rPr>
          <w:sz w:val="34"/>
          <w:szCs w:val="34"/>
        </w:rPr>
        <w:t xml:space="preserve">Березнеговатский ПЦК </w:t>
      </w:r>
      <w:r w:rsidR="001D6D61" w:rsidRPr="00B2523F">
        <w:rPr>
          <w:sz w:val="34"/>
          <w:szCs w:val="34"/>
        </w:rPr>
        <w:t>–</w:t>
      </w:r>
      <w:r w:rsidRPr="00B2523F">
        <w:rPr>
          <w:sz w:val="34"/>
          <w:szCs w:val="34"/>
        </w:rPr>
        <w:t xml:space="preserve"> </w:t>
      </w:r>
      <w:r w:rsidR="00B13778">
        <w:rPr>
          <w:sz w:val="34"/>
          <w:szCs w:val="34"/>
        </w:rPr>
        <w:t>0</w:t>
      </w:r>
      <w:r w:rsidR="001D6D61" w:rsidRPr="00B2523F">
        <w:rPr>
          <w:sz w:val="34"/>
          <w:szCs w:val="34"/>
        </w:rPr>
        <w:t>,</w:t>
      </w:r>
      <w:r w:rsidR="005F32E6" w:rsidRPr="00B2523F">
        <w:rPr>
          <w:sz w:val="34"/>
          <w:szCs w:val="34"/>
        </w:rPr>
        <w:t>0</w:t>
      </w:r>
      <w:r w:rsidR="001D6D61" w:rsidRPr="00B2523F">
        <w:rPr>
          <w:sz w:val="34"/>
          <w:szCs w:val="34"/>
        </w:rPr>
        <w:t xml:space="preserve"> тыс. рублей,</w:t>
      </w:r>
    </w:p>
    <w:p w14:paraId="047FF0CD" w14:textId="6BFB0848" w:rsidR="001D6D61" w:rsidRPr="00B2523F" w:rsidRDefault="00B13778" w:rsidP="00B2523F">
      <w:pPr>
        <w:pStyle w:val="a6"/>
        <w:numPr>
          <w:ilvl w:val="0"/>
          <w:numId w:val="6"/>
        </w:numPr>
        <w:spacing w:line="360" w:lineRule="auto"/>
        <w:jc w:val="both"/>
        <w:rPr>
          <w:sz w:val="34"/>
          <w:szCs w:val="34"/>
        </w:rPr>
      </w:pPr>
      <w:r>
        <w:rPr>
          <w:sz w:val="34"/>
          <w:szCs w:val="34"/>
        </w:rPr>
        <w:t>Демшинский</w:t>
      </w:r>
      <w:r w:rsidR="001D6D61" w:rsidRPr="00B2523F">
        <w:rPr>
          <w:sz w:val="34"/>
          <w:szCs w:val="34"/>
        </w:rPr>
        <w:t xml:space="preserve"> ПЦК – </w:t>
      </w:r>
      <w:r>
        <w:rPr>
          <w:sz w:val="34"/>
          <w:szCs w:val="34"/>
        </w:rPr>
        <w:t>6</w:t>
      </w:r>
      <w:r w:rsidR="005F32E6" w:rsidRPr="00B2523F">
        <w:rPr>
          <w:sz w:val="34"/>
          <w:szCs w:val="34"/>
        </w:rPr>
        <w:t>,0</w:t>
      </w:r>
      <w:r w:rsidR="001D6D61" w:rsidRPr="00B2523F">
        <w:rPr>
          <w:sz w:val="34"/>
          <w:szCs w:val="34"/>
        </w:rPr>
        <w:t xml:space="preserve"> тыс. рублей,</w:t>
      </w:r>
    </w:p>
    <w:p w14:paraId="3B458ACA" w14:textId="0F3AEB11" w:rsidR="001D6D61" w:rsidRPr="00B2523F" w:rsidRDefault="001D6D61" w:rsidP="00B2523F">
      <w:pPr>
        <w:pStyle w:val="a6"/>
        <w:numPr>
          <w:ilvl w:val="0"/>
          <w:numId w:val="6"/>
        </w:numPr>
        <w:spacing w:line="360" w:lineRule="auto"/>
        <w:jc w:val="both"/>
        <w:rPr>
          <w:sz w:val="34"/>
          <w:szCs w:val="34"/>
        </w:rPr>
      </w:pPr>
      <w:r w:rsidRPr="00B2523F">
        <w:rPr>
          <w:sz w:val="34"/>
          <w:szCs w:val="34"/>
        </w:rPr>
        <w:t xml:space="preserve">Мазейский ПЦК – </w:t>
      </w:r>
      <w:r w:rsidR="00B13778">
        <w:rPr>
          <w:sz w:val="34"/>
          <w:szCs w:val="34"/>
        </w:rPr>
        <w:t>0</w:t>
      </w:r>
      <w:r w:rsidRPr="00B2523F">
        <w:rPr>
          <w:sz w:val="34"/>
          <w:szCs w:val="34"/>
        </w:rPr>
        <w:t>,0 тыс. рублей,</w:t>
      </w:r>
    </w:p>
    <w:p w14:paraId="75EA4890" w14:textId="4ED19020" w:rsidR="001D6D61" w:rsidRPr="00B2523F" w:rsidRDefault="001D6D61" w:rsidP="00B2523F">
      <w:pPr>
        <w:pStyle w:val="a6"/>
        <w:numPr>
          <w:ilvl w:val="0"/>
          <w:numId w:val="6"/>
        </w:numPr>
        <w:spacing w:line="360" w:lineRule="auto"/>
        <w:jc w:val="both"/>
        <w:rPr>
          <w:sz w:val="34"/>
          <w:szCs w:val="34"/>
        </w:rPr>
      </w:pPr>
      <w:r w:rsidRPr="00B2523F">
        <w:rPr>
          <w:sz w:val="34"/>
          <w:szCs w:val="34"/>
        </w:rPr>
        <w:t xml:space="preserve">Тихвинский ПЦК – </w:t>
      </w:r>
      <w:r w:rsidR="00B13778">
        <w:rPr>
          <w:sz w:val="34"/>
          <w:szCs w:val="34"/>
        </w:rPr>
        <w:t>3,8</w:t>
      </w:r>
      <w:r w:rsidRPr="00B2523F">
        <w:rPr>
          <w:sz w:val="34"/>
          <w:szCs w:val="34"/>
        </w:rPr>
        <w:t xml:space="preserve"> тыс. рублей.</w:t>
      </w:r>
    </w:p>
    <w:p w14:paraId="5A6460E9" w14:textId="6A188854" w:rsidR="001D6D61" w:rsidRPr="002A437D" w:rsidRDefault="001D6D61" w:rsidP="008D0D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Поступление собственных доходов в учреждениях культуры, в разрезе сельских поселений, представлено на гистограмме:</w:t>
      </w:r>
      <w:r>
        <w:rPr>
          <w:noProof/>
          <w:sz w:val="28"/>
          <w:szCs w:val="28"/>
        </w:rPr>
        <w:drawing>
          <wp:inline distT="0" distB="0" distL="0" distR="0" wp14:anchorId="45C879C5" wp14:editId="5F0627E4">
            <wp:extent cx="5946775" cy="2633472"/>
            <wp:effectExtent l="0" t="0" r="15875" b="1460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991AFCA" w14:textId="65184016" w:rsidR="00B2523F" w:rsidRPr="00B2523F" w:rsidRDefault="00B2523F" w:rsidP="00B2523F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B2523F">
        <w:rPr>
          <w:rFonts w:ascii="Times New Roman" w:hAnsi="Times New Roman" w:cs="Times New Roman"/>
          <w:sz w:val="34"/>
          <w:szCs w:val="34"/>
        </w:rPr>
        <w:lastRenderedPageBreak/>
        <w:t>В ходе проведения экспертизы годовых отчетов об исполнении бюджетов сельских поселений, КСК проведен анализ бюджетов сельских поселений по двум показателям:</w:t>
      </w:r>
    </w:p>
    <w:p w14:paraId="734EFF41" w14:textId="4CE60E85" w:rsidR="00B2523F" w:rsidRPr="00B2523F" w:rsidRDefault="00B2523F" w:rsidP="00B2523F">
      <w:pPr>
        <w:pStyle w:val="a6"/>
        <w:numPr>
          <w:ilvl w:val="0"/>
          <w:numId w:val="7"/>
        </w:numPr>
        <w:spacing w:before="240" w:line="360" w:lineRule="auto"/>
        <w:ind w:left="0" w:firstLine="1134"/>
        <w:jc w:val="both"/>
        <w:rPr>
          <w:sz w:val="34"/>
          <w:szCs w:val="34"/>
        </w:rPr>
      </w:pPr>
      <w:r w:rsidRPr="00B2523F">
        <w:rPr>
          <w:b/>
          <w:bCs/>
          <w:sz w:val="34"/>
          <w:szCs w:val="34"/>
        </w:rPr>
        <w:t>показатель финансовой независимости бюджетов поселений,</w:t>
      </w:r>
      <w:r w:rsidRPr="00B2523F">
        <w:rPr>
          <w:sz w:val="34"/>
          <w:szCs w:val="34"/>
        </w:rPr>
        <w:t xml:space="preserve"> который показывает долю собственных доходов бюджета в общей сумме поступлений в бюджет. Данный показатель характеризует долю доходов, объем которых зависит от усилий органов власти сельского поселения по увеличению поступлений от налогов и муниципальной собственности. По </w:t>
      </w:r>
      <w:r w:rsidR="00DF763B">
        <w:rPr>
          <w:sz w:val="34"/>
          <w:szCs w:val="34"/>
        </w:rPr>
        <w:t>трем</w:t>
      </w:r>
      <w:r w:rsidRPr="00B2523F">
        <w:rPr>
          <w:sz w:val="34"/>
          <w:szCs w:val="34"/>
        </w:rPr>
        <w:t xml:space="preserve"> сельским поселениям этот показатель находится на очень низком уровне: </w:t>
      </w:r>
    </w:p>
    <w:p w14:paraId="318CB772" w14:textId="77777777" w:rsidR="00C86C30" w:rsidRDefault="00B2523F" w:rsidP="00B2523F">
      <w:pPr>
        <w:pStyle w:val="a6"/>
        <w:numPr>
          <w:ilvl w:val="0"/>
          <w:numId w:val="4"/>
        </w:numPr>
        <w:spacing w:before="240" w:line="360" w:lineRule="auto"/>
        <w:ind w:left="0" w:firstLine="1069"/>
        <w:jc w:val="both"/>
        <w:rPr>
          <w:sz w:val="34"/>
          <w:szCs w:val="34"/>
        </w:rPr>
      </w:pPr>
      <w:r w:rsidRPr="00B2523F">
        <w:rPr>
          <w:sz w:val="34"/>
          <w:szCs w:val="34"/>
        </w:rPr>
        <w:t xml:space="preserve">Петровское сельское поселение – </w:t>
      </w:r>
      <w:r w:rsidR="00C86C30">
        <w:rPr>
          <w:sz w:val="34"/>
          <w:szCs w:val="34"/>
        </w:rPr>
        <w:t>12,7</w:t>
      </w:r>
      <w:r w:rsidRPr="00B2523F">
        <w:rPr>
          <w:sz w:val="34"/>
          <w:szCs w:val="34"/>
        </w:rPr>
        <w:t>%</w:t>
      </w:r>
      <w:r w:rsidR="00C86C30">
        <w:rPr>
          <w:sz w:val="34"/>
          <w:szCs w:val="34"/>
        </w:rPr>
        <w:t>,</w:t>
      </w:r>
    </w:p>
    <w:p w14:paraId="3A1570A4" w14:textId="3647FEF7" w:rsidR="00C86C30" w:rsidRPr="00B2523F" w:rsidRDefault="00C86C30" w:rsidP="00C86C30">
      <w:pPr>
        <w:pStyle w:val="a6"/>
        <w:numPr>
          <w:ilvl w:val="0"/>
          <w:numId w:val="4"/>
        </w:numPr>
        <w:spacing w:before="240" w:line="360" w:lineRule="auto"/>
        <w:ind w:left="0" w:firstLine="1069"/>
        <w:jc w:val="both"/>
        <w:rPr>
          <w:sz w:val="34"/>
          <w:szCs w:val="34"/>
        </w:rPr>
      </w:pPr>
      <w:r>
        <w:rPr>
          <w:sz w:val="34"/>
          <w:szCs w:val="34"/>
        </w:rPr>
        <w:t xml:space="preserve">Среднематренское </w:t>
      </w:r>
      <w:r w:rsidRPr="00B2523F">
        <w:rPr>
          <w:sz w:val="34"/>
          <w:szCs w:val="34"/>
        </w:rPr>
        <w:t xml:space="preserve">сельское поселение – </w:t>
      </w:r>
      <w:r>
        <w:rPr>
          <w:sz w:val="34"/>
          <w:szCs w:val="34"/>
        </w:rPr>
        <w:t>12,9</w:t>
      </w:r>
      <w:r w:rsidRPr="00B2523F">
        <w:rPr>
          <w:sz w:val="34"/>
          <w:szCs w:val="34"/>
        </w:rPr>
        <w:t xml:space="preserve">%, </w:t>
      </w:r>
    </w:p>
    <w:p w14:paraId="7511BD15" w14:textId="410BE555" w:rsidR="00B2523F" w:rsidRPr="00B2523F" w:rsidRDefault="00C86C30" w:rsidP="00B2523F">
      <w:pPr>
        <w:pStyle w:val="a6"/>
        <w:numPr>
          <w:ilvl w:val="0"/>
          <w:numId w:val="4"/>
        </w:numPr>
        <w:spacing w:before="240" w:line="360" w:lineRule="auto"/>
        <w:ind w:left="0" w:firstLine="1069"/>
        <w:jc w:val="both"/>
        <w:rPr>
          <w:sz w:val="34"/>
          <w:szCs w:val="34"/>
        </w:rPr>
      </w:pPr>
      <w:r>
        <w:rPr>
          <w:sz w:val="34"/>
          <w:szCs w:val="34"/>
        </w:rPr>
        <w:t>Тихвинское сельское поселение – 13,4%</w:t>
      </w:r>
      <w:r w:rsidR="00B2523F" w:rsidRPr="00B2523F">
        <w:rPr>
          <w:sz w:val="34"/>
          <w:szCs w:val="34"/>
        </w:rPr>
        <w:t xml:space="preserve">. </w:t>
      </w:r>
    </w:p>
    <w:p w14:paraId="24ACB30A" w14:textId="6C67C04F" w:rsidR="00560CB7" w:rsidRDefault="00B2523F" w:rsidP="00B2523F">
      <w:pPr>
        <w:pStyle w:val="a6"/>
        <w:numPr>
          <w:ilvl w:val="0"/>
          <w:numId w:val="7"/>
        </w:numPr>
        <w:spacing w:before="240" w:line="360" w:lineRule="auto"/>
        <w:ind w:left="0" w:firstLine="1134"/>
        <w:jc w:val="both"/>
        <w:rPr>
          <w:sz w:val="34"/>
          <w:szCs w:val="34"/>
        </w:rPr>
      </w:pPr>
      <w:r w:rsidRPr="00B2523F">
        <w:rPr>
          <w:b/>
          <w:bCs/>
          <w:sz w:val="34"/>
          <w:szCs w:val="34"/>
        </w:rPr>
        <w:t xml:space="preserve">коэффициент собственной сбалансированности бюджета, </w:t>
      </w:r>
      <w:r w:rsidRPr="00B2523F">
        <w:rPr>
          <w:sz w:val="34"/>
          <w:szCs w:val="34"/>
        </w:rPr>
        <w:t xml:space="preserve">который характеризует степень покрытия общей суммы расходов бюджета на организацию и реализацию муниципального управления собственными доходами. Низкие значения данного коэффициента, менее </w:t>
      </w:r>
      <w:r w:rsidR="00622B63">
        <w:rPr>
          <w:sz w:val="34"/>
          <w:szCs w:val="34"/>
        </w:rPr>
        <w:t>единицы</w:t>
      </w:r>
      <w:r w:rsidRPr="00B2523F">
        <w:rPr>
          <w:sz w:val="34"/>
          <w:szCs w:val="34"/>
        </w:rPr>
        <w:t xml:space="preserve">, у </w:t>
      </w:r>
      <w:r w:rsidR="00C86C30">
        <w:rPr>
          <w:sz w:val="34"/>
          <w:szCs w:val="34"/>
        </w:rPr>
        <w:t xml:space="preserve">двенадцати </w:t>
      </w:r>
      <w:r w:rsidRPr="00B2523F">
        <w:rPr>
          <w:sz w:val="34"/>
          <w:szCs w:val="34"/>
        </w:rPr>
        <w:t xml:space="preserve">сельских поселений. Самый низкий коэффициент в </w:t>
      </w:r>
      <w:r w:rsidR="00DF763B">
        <w:rPr>
          <w:sz w:val="34"/>
          <w:szCs w:val="34"/>
        </w:rPr>
        <w:t xml:space="preserve">трех </w:t>
      </w:r>
      <w:r w:rsidRPr="00B2523F">
        <w:rPr>
          <w:sz w:val="34"/>
          <w:szCs w:val="34"/>
        </w:rPr>
        <w:t xml:space="preserve">сельских поселениях: </w:t>
      </w:r>
    </w:p>
    <w:p w14:paraId="4345223E" w14:textId="487C950A" w:rsidR="00560CB7" w:rsidRDefault="00560CB7" w:rsidP="00560CB7">
      <w:pPr>
        <w:pStyle w:val="a6"/>
        <w:numPr>
          <w:ilvl w:val="0"/>
          <w:numId w:val="4"/>
        </w:numPr>
        <w:spacing w:before="240" w:line="360" w:lineRule="auto"/>
        <w:ind w:left="0" w:firstLine="1069"/>
        <w:jc w:val="both"/>
        <w:rPr>
          <w:sz w:val="34"/>
          <w:szCs w:val="34"/>
        </w:rPr>
      </w:pPr>
      <w:r>
        <w:rPr>
          <w:sz w:val="34"/>
          <w:szCs w:val="34"/>
        </w:rPr>
        <w:t>Дуровское сельское поселение – 0,</w:t>
      </w:r>
      <w:r w:rsidR="00C86C30">
        <w:rPr>
          <w:sz w:val="34"/>
          <w:szCs w:val="34"/>
        </w:rPr>
        <w:t>5</w:t>
      </w:r>
      <w:r>
        <w:rPr>
          <w:sz w:val="34"/>
          <w:szCs w:val="34"/>
        </w:rPr>
        <w:t>,</w:t>
      </w:r>
    </w:p>
    <w:p w14:paraId="5D5C9804" w14:textId="204EBAC5" w:rsidR="00560CB7" w:rsidRDefault="00560CB7" w:rsidP="00560CB7">
      <w:pPr>
        <w:pStyle w:val="a6"/>
        <w:numPr>
          <w:ilvl w:val="0"/>
          <w:numId w:val="4"/>
        </w:numPr>
        <w:spacing w:before="240" w:line="360" w:lineRule="auto"/>
        <w:ind w:left="0" w:firstLine="1069"/>
        <w:jc w:val="both"/>
        <w:rPr>
          <w:sz w:val="34"/>
          <w:szCs w:val="34"/>
        </w:rPr>
      </w:pPr>
      <w:r>
        <w:rPr>
          <w:sz w:val="34"/>
          <w:szCs w:val="34"/>
        </w:rPr>
        <w:t>Мазейское сельское поселение – 0,</w:t>
      </w:r>
      <w:r w:rsidR="00C86C30">
        <w:rPr>
          <w:sz w:val="34"/>
          <w:szCs w:val="34"/>
        </w:rPr>
        <w:t>5</w:t>
      </w:r>
      <w:r>
        <w:rPr>
          <w:sz w:val="34"/>
          <w:szCs w:val="34"/>
        </w:rPr>
        <w:t>,</w:t>
      </w:r>
    </w:p>
    <w:p w14:paraId="3AB55311" w14:textId="7AF8C792" w:rsidR="00560CB7" w:rsidRDefault="00560CB7" w:rsidP="00560CB7">
      <w:pPr>
        <w:pStyle w:val="a6"/>
        <w:numPr>
          <w:ilvl w:val="0"/>
          <w:numId w:val="4"/>
        </w:numPr>
        <w:spacing w:before="240" w:line="360" w:lineRule="auto"/>
        <w:ind w:left="0" w:firstLine="1069"/>
        <w:jc w:val="both"/>
        <w:rPr>
          <w:sz w:val="34"/>
          <w:szCs w:val="34"/>
        </w:rPr>
      </w:pPr>
      <w:r>
        <w:rPr>
          <w:sz w:val="34"/>
          <w:szCs w:val="34"/>
        </w:rPr>
        <w:t>Петровское сельское поселение – 0,</w:t>
      </w:r>
      <w:r w:rsidR="00C86C30">
        <w:rPr>
          <w:sz w:val="34"/>
          <w:szCs w:val="34"/>
        </w:rPr>
        <w:t>6.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8"/>
        <w:gridCol w:w="1897"/>
        <w:gridCol w:w="1635"/>
        <w:gridCol w:w="1548"/>
        <w:gridCol w:w="1046"/>
      </w:tblGrid>
      <w:tr w:rsidR="00B2523F" w:rsidRPr="00B2523F" w14:paraId="5E960569" w14:textId="77777777" w:rsidTr="00560CB7"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CB68AD9" w14:textId="77777777" w:rsidR="00B2523F" w:rsidRPr="00B2523F" w:rsidRDefault="00B252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Сельское поселение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1F98BFC" w14:textId="77777777" w:rsidR="00B2523F" w:rsidRPr="00B2523F" w:rsidRDefault="00B252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финансовой независимости, %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D7C24A1" w14:textId="77777777" w:rsidR="00B2523F" w:rsidRPr="00B2523F" w:rsidRDefault="00B252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Коэффициент собственной сбалансированности</w:t>
            </w:r>
          </w:p>
        </w:tc>
      </w:tr>
      <w:tr w:rsidR="00B2523F" w:rsidRPr="00B2523F" w14:paraId="27AE34A7" w14:textId="77777777" w:rsidTr="00C86C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A6D94" w14:textId="77777777" w:rsidR="00B2523F" w:rsidRPr="00B2523F" w:rsidRDefault="00B252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97D6" w14:textId="77777777" w:rsidR="00B2523F" w:rsidRPr="00B2523F" w:rsidRDefault="00B252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10FDB1D" w14:textId="77777777" w:rsidR="00B2523F" w:rsidRPr="00B2523F" w:rsidRDefault="00B252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2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собственные доходы, тыс.руб.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855B070" w14:textId="77777777" w:rsidR="00B2523F" w:rsidRPr="00B2523F" w:rsidRDefault="00B252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2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управление тыс.руб.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A5EAEC7" w14:textId="77777777" w:rsidR="00B2523F" w:rsidRPr="00B2523F" w:rsidRDefault="00B252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2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коэффи-</w:t>
            </w:r>
          </w:p>
          <w:p w14:paraId="6D63C5F5" w14:textId="77777777" w:rsidR="00B2523F" w:rsidRPr="00B2523F" w:rsidRDefault="00B252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2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циент</w:t>
            </w:r>
          </w:p>
        </w:tc>
      </w:tr>
      <w:tr w:rsidR="00B2523F" w:rsidRPr="00B2523F" w14:paraId="7AB0C2EC" w14:textId="77777777" w:rsidTr="00C86C3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ACD4" w14:textId="77777777" w:rsidR="00B2523F" w:rsidRPr="00B2523F" w:rsidRDefault="00B2523F" w:rsidP="00B252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3F">
              <w:rPr>
                <w:rFonts w:ascii="Times New Roman" w:hAnsi="Times New Roman" w:cs="Times New Roman"/>
                <w:sz w:val="24"/>
                <w:szCs w:val="24"/>
              </w:rPr>
              <w:t>Березнеговатский с/с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129C4" w14:textId="0C8AA1CF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C1B7F" w14:textId="4316683A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4390,7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7A212" w14:textId="39A21DFB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4993,5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CC1323A" w14:textId="67B9BBB8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2523F" w:rsidRPr="00B2523F" w14:paraId="1DEC7C09" w14:textId="77777777" w:rsidTr="00C86C3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BF22" w14:textId="77777777" w:rsidR="00B2523F" w:rsidRPr="00B2523F" w:rsidRDefault="00B2523F" w:rsidP="00B252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3F">
              <w:rPr>
                <w:rFonts w:ascii="Times New Roman" w:hAnsi="Times New Roman" w:cs="Times New Roman"/>
                <w:sz w:val="24"/>
                <w:szCs w:val="24"/>
              </w:rPr>
              <w:t>Богородицкий с/с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B6EAB" w14:textId="5019B59E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15E80" w14:textId="040AD9FF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12774,9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3402D" w14:textId="531C6253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3636,7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1B293" w14:textId="674DAE47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2523F" w:rsidRPr="00B2523F" w14:paraId="6ED0A1F1" w14:textId="77777777" w:rsidTr="00DF776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1574" w14:textId="77777777" w:rsidR="00B2523F" w:rsidRPr="00B2523F" w:rsidRDefault="00B2523F" w:rsidP="00B252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3F">
              <w:rPr>
                <w:rFonts w:ascii="Times New Roman" w:hAnsi="Times New Roman" w:cs="Times New Roman"/>
                <w:sz w:val="24"/>
                <w:szCs w:val="24"/>
              </w:rPr>
              <w:t>Верхнематренский с/с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6AEC0" w14:textId="54152798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ACAA6" w14:textId="730A1B25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D2669" w14:textId="39DD7B32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2928,7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0A75765" w14:textId="62BFCE0A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2523F" w:rsidRPr="00B2523F" w14:paraId="6DDD815D" w14:textId="77777777" w:rsidTr="00DF776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9C1A" w14:textId="77777777" w:rsidR="00B2523F" w:rsidRPr="00B2523F" w:rsidRDefault="00B2523F" w:rsidP="00B252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3F">
              <w:rPr>
                <w:rFonts w:ascii="Times New Roman" w:hAnsi="Times New Roman" w:cs="Times New Roman"/>
                <w:sz w:val="24"/>
                <w:szCs w:val="24"/>
              </w:rPr>
              <w:t>Демшинский с/с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E6D88" w14:textId="49687197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CDD51" w14:textId="0158718C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316EA" w14:textId="443B1C5C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D02C21B" w14:textId="7C2CFB9A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2523F" w:rsidRPr="00B2523F" w14:paraId="4DAFEC64" w14:textId="77777777" w:rsidTr="00C86C3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D1C8" w14:textId="77777777" w:rsidR="00B2523F" w:rsidRPr="00B2523F" w:rsidRDefault="00B2523F" w:rsidP="00B252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3F">
              <w:rPr>
                <w:rFonts w:ascii="Times New Roman" w:hAnsi="Times New Roman" w:cs="Times New Roman"/>
                <w:sz w:val="24"/>
                <w:szCs w:val="24"/>
              </w:rPr>
              <w:t>Добринский с/с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4CF60" w14:textId="2963CA64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4A165" w14:textId="71281CBC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34230,8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05B8F" w14:textId="35DD9DDB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8561,7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55BD0" w14:textId="476688FF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2523F" w:rsidRPr="00B2523F" w14:paraId="461F341A" w14:textId="77777777" w:rsidTr="00DF776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8A26" w14:textId="77777777" w:rsidR="00B2523F" w:rsidRPr="00B2523F" w:rsidRDefault="00B2523F" w:rsidP="00B252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3F">
              <w:rPr>
                <w:rFonts w:ascii="Times New Roman" w:hAnsi="Times New Roman" w:cs="Times New Roman"/>
                <w:sz w:val="24"/>
                <w:szCs w:val="24"/>
              </w:rPr>
              <w:t>Дубовской с/с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CBB22" w14:textId="7A42CECC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3CD69" w14:textId="31594C82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3062,1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C089D" w14:textId="5EB32B6D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3397,2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6535637" w14:textId="569130CE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2523F" w:rsidRPr="00B2523F" w14:paraId="0E40241F" w14:textId="77777777" w:rsidTr="00DF776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A529" w14:textId="77777777" w:rsidR="00B2523F" w:rsidRPr="00B2523F" w:rsidRDefault="00B2523F" w:rsidP="00B252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3F">
              <w:rPr>
                <w:rFonts w:ascii="Times New Roman" w:hAnsi="Times New Roman" w:cs="Times New Roman"/>
                <w:sz w:val="24"/>
                <w:szCs w:val="24"/>
              </w:rPr>
              <w:t>Дуровский с/с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2D5F5" w14:textId="1D7E9A17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6FD74" w14:textId="6D3A2432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894,7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64919" w14:textId="76A3BBBC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E5F0499" w14:textId="23A8415D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2523F" w:rsidRPr="00B2523F" w14:paraId="178D8FA6" w14:textId="77777777" w:rsidTr="00DF776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7820" w14:textId="77777777" w:rsidR="00B2523F" w:rsidRPr="00B2523F" w:rsidRDefault="00B2523F" w:rsidP="00B252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3F">
              <w:rPr>
                <w:rFonts w:ascii="Times New Roman" w:hAnsi="Times New Roman" w:cs="Times New Roman"/>
                <w:sz w:val="24"/>
                <w:szCs w:val="24"/>
              </w:rPr>
              <w:t>Каверинский с/с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B4CAC" w14:textId="3F82075F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955A6" w14:textId="508D8737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2452,2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7A230" w14:textId="6A0DF04C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2604,2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5A5DFF6" w14:textId="1088C79C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2523F" w:rsidRPr="00B2523F" w14:paraId="0373EFB2" w14:textId="77777777" w:rsidTr="00DF776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9E62" w14:textId="77777777" w:rsidR="00B2523F" w:rsidRPr="00B2523F" w:rsidRDefault="00B2523F" w:rsidP="00B252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3F">
              <w:rPr>
                <w:rFonts w:ascii="Times New Roman" w:hAnsi="Times New Roman" w:cs="Times New Roman"/>
                <w:sz w:val="24"/>
                <w:szCs w:val="24"/>
              </w:rPr>
              <w:t>Мазейский с/с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4EF97" w14:textId="7F7D37B3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85377" w14:textId="621ECEBC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1525,2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6CD62" w14:textId="2E1C35F5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2812,2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271D137" w14:textId="37E4BE49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2523F" w:rsidRPr="00B2523F" w14:paraId="66DD48FA" w14:textId="77777777" w:rsidTr="00DF776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226F" w14:textId="77777777" w:rsidR="00B2523F" w:rsidRPr="00B2523F" w:rsidRDefault="00B2523F" w:rsidP="00B252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3F">
              <w:rPr>
                <w:rFonts w:ascii="Times New Roman" w:hAnsi="Times New Roman" w:cs="Times New Roman"/>
                <w:sz w:val="24"/>
                <w:szCs w:val="24"/>
              </w:rPr>
              <w:t>Нижнематренский с/с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8BA96" w14:textId="292DACB8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B0A86" w14:textId="48B3DD92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2544,5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F7E3D" w14:textId="4B73B719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2953,0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B6AAF8C" w14:textId="707DE4F1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2523F" w:rsidRPr="00B2523F" w14:paraId="0076D967" w14:textId="77777777" w:rsidTr="00560CB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84B9" w14:textId="77777777" w:rsidR="00B2523F" w:rsidRPr="00B2523F" w:rsidRDefault="00B2523F" w:rsidP="00B252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3F">
              <w:rPr>
                <w:rFonts w:ascii="Times New Roman" w:hAnsi="Times New Roman" w:cs="Times New Roman"/>
                <w:sz w:val="24"/>
                <w:szCs w:val="24"/>
              </w:rPr>
              <w:t>Новочеркутинский с/с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1883F" w14:textId="241B2EBE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4A6F6" w14:textId="2F4264BF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9227,7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60F8C" w14:textId="2C21DFC4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4364,4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F4215" w14:textId="1E70BA56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560CB7" w:rsidRPr="00B2523F" w14:paraId="4F6591F4" w14:textId="77777777" w:rsidTr="00DF776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F99D" w14:textId="77777777" w:rsidR="00B2523F" w:rsidRPr="00B2523F" w:rsidRDefault="00B2523F" w:rsidP="00B252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3F">
              <w:rPr>
                <w:rFonts w:ascii="Times New Roman" w:hAnsi="Times New Roman" w:cs="Times New Roman"/>
                <w:sz w:val="24"/>
                <w:szCs w:val="24"/>
              </w:rPr>
              <w:t>Петровский с/с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43AFAE4" w14:textId="34BB2423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7CFA1" w14:textId="0D9B4EF6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2041,8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4FBF2" w14:textId="125A891B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F62766B" w14:textId="5E26D8A2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2523F" w:rsidRPr="00B2523F" w14:paraId="3D5059A3" w14:textId="77777777" w:rsidTr="00C86C3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287E" w14:textId="77777777" w:rsidR="00B2523F" w:rsidRPr="00B2523F" w:rsidRDefault="00B2523F" w:rsidP="00B252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3F">
              <w:rPr>
                <w:rFonts w:ascii="Times New Roman" w:hAnsi="Times New Roman" w:cs="Times New Roman"/>
                <w:sz w:val="24"/>
                <w:szCs w:val="24"/>
              </w:rPr>
              <w:t>Пушкинский с/с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71DFF" w14:textId="1EEA9012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6B0A1" w14:textId="44100A86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3709,9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2E708" w14:textId="7B3953CD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5EFE1" w14:textId="0434D835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2523F" w:rsidRPr="00B2523F" w14:paraId="79738425" w14:textId="77777777" w:rsidTr="00DF776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A652" w14:textId="77777777" w:rsidR="00B2523F" w:rsidRPr="00B2523F" w:rsidRDefault="00B2523F" w:rsidP="00B252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3F">
              <w:rPr>
                <w:rFonts w:ascii="Times New Roman" w:hAnsi="Times New Roman" w:cs="Times New Roman"/>
                <w:sz w:val="24"/>
                <w:szCs w:val="24"/>
              </w:rPr>
              <w:t>Среднематренский с/с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E78650A" w14:textId="209EEDD4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914E3" w14:textId="3BE6BD6A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1497,9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323A6" w14:textId="7C7C282D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2209,0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0EB99AE" w14:textId="4DCFED58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2523F" w:rsidRPr="00B2523F" w14:paraId="520CFE94" w14:textId="77777777" w:rsidTr="00C86C3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7AC6" w14:textId="77777777" w:rsidR="00B2523F" w:rsidRPr="00B2523F" w:rsidRDefault="00B2523F" w:rsidP="00B252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3F">
              <w:rPr>
                <w:rFonts w:ascii="Times New Roman" w:hAnsi="Times New Roman" w:cs="Times New Roman"/>
                <w:sz w:val="24"/>
                <w:szCs w:val="24"/>
              </w:rPr>
              <w:t>Талицкий с/с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FD72B" w14:textId="1568FB07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E7346" w14:textId="1FB198F8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6185,4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9186C" w14:textId="7202AE54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3687,6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AD8D3" w14:textId="03BC4252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B2523F" w:rsidRPr="00B2523F" w14:paraId="6F300196" w14:textId="77777777" w:rsidTr="00DF776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4B22" w14:textId="77777777" w:rsidR="00B2523F" w:rsidRPr="00B2523F" w:rsidRDefault="00B2523F" w:rsidP="00B252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3F">
              <w:rPr>
                <w:rFonts w:ascii="Times New Roman" w:hAnsi="Times New Roman" w:cs="Times New Roman"/>
                <w:sz w:val="24"/>
                <w:szCs w:val="24"/>
              </w:rPr>
              <w:t>Тихвинский с/с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F422940" w14:textId="289C2D43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5442F" w14:textId="0B19A097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1923,5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580F0" w14:textId="0DF766DA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2179,0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2B04410" w14:textId="18EBFDBF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2523F" w:rsidRPr="00B2523F" w14:paraId="635A1A6D" w14:textId="77777777" w:rsidTr="00DF776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C75D" w14:textId="77777777" w:rsidR="00B2523F" w:rsidRPr="00B2523F" w:rsidRDefault="00B2523F" w:rsidP="00B252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3F">
              <w:rPr>
                <w:rFonts w:ascii="Times New Roman" w:hAnsi="Times New Roman" w:cs="Times New Roman"/>
                <w:sz w:val="24"/>
                <w:szCs w:val="24"/>
              </w:rPr>
              <w:t>Хворостянский с/с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1F59B" w14:textId="0FBB85F2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80556" w14:textId="42F9772C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2385,2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19FC3" w14:textId="6128277C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3169,4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A6AEEDB" w14:textId="0734A3C6" w:rsidR="00B2523F" w:rsidRPr="00B2523F" w:rsidRDefault="00C86C30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14:paraId="4A03EF65" w14:textId="77777777" w:rsidR="001C1801" w:rsidRPr="00944F7B" w:rsidRDefault="001C1801" w:rsidP="007E3532">
      <w:pPr>
        <w:spacing w:before="240" w:after="0" w:line="360" w:lineRule="auto"/>
        <w:ind w:firstLine="709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944F7B">
        <w:rPr>
          <w:rFonts w:ascii="Times New Roman" w:hAnsi="Times New Roman" w:cs="Times New Roman"/>
          <w:b/>
          <w:sz w:val="34"/>
          <w:szCs w:val="34"/>
        </w:rPr>
        <w:t>Экспертно-аналитическая деятельность</w:t>
      </w:r>
      <w:r w:rsidR="0051684B">
        <w:rPr>
          <w:rFonts w:ascii="Times New Roman" w:hAnsi="Times New Roman" w:cs="Times New Roman"/>
          <w:b/>
          <w:sz w:val="34"/>
          <w:szCs w:val="34"/>
        </w:rPr>
        <w:t>.</w:t>
      </w:r>
    </w:p>
    <w:p w14:paraId="714045F2" w14:textId="6CACFEB9" w:rsidR="009F35F0" w:rsidRDefault="009F35F0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417BF">
        <w:rPr>
          <w:rFonts w:ascii="Times New Roman" w:hAnsi="Times New Roman" w:cs="Times New Roman"/>
          <w:sz w:val="34"/>
          <w:szCs w:val="34"/>
        </w:rPr>
        <w:t>В 20</w:t>
      </w:r>
      <w:r w:rsidR="00940519">
        <w:rPr>
          <w:rFonts w:ascii="Times New Roman" w:hAnsi="Times New Roman" w:cs="Times New Roman"/>
          <w:sz w:val="34"/>
          <w:szCs w:val="34"/>
        </w:rPr>
        <w:t>20</w:t>
      </w:r>
      <w:r w:rsidRPr="008417BF">
        <w:rPr>
          <w:rFonts w:ascii="Times New Roman" w:hAnsi="Times New Roman" w:cs="Times New Roman"/>
          <w:sz w:val="34"/>
          <w:szCs w:val="34"/>
        </w:rPr>
        <w:t xml:space="preserve"> году </w:t>
      </w:r>
      <w:r w:rsidR="007E3532">
        <w:rPr>
          <w:rFonts w:ascii="Times New Roman" w:hAnsi="Times New Roman" w:cs="Times New Roman"/>
          <w:sz w:val="34"/>
          <w:szCs w:val="34"/>
        </w:rPr>
        <w:t xml:space="preserve">в рамках установленных полномочий </w:t>
      </w:r>
      <w:r w:rsidRPr="008417BF">
        <w:rPr>
          <w:rFonts w:ascii="Times New Roman" w:hAnsi="Times New Roman" w:cs="Times New Roman"/>
          <w:sz w:val="34"/>
          <w:szCs w:val="34"/>
        </w:rPr>
        <w:t xml:space="preserve">Контрольно-счетной комиссией </w:t>
      </w:r>
      <w:r w:rsidR="00E528B4">
        <w:rPr>
          <w:rFonts w:ascii="Times New Roman" w:hAnsi="Times New Roman" w:cs="Times New Roman"/>
          <w:sz w:val="34"/>
          <w:szCs w:val="34"/>
        </w:rPr>
        <w:t>проведен комплекс экспертно-аналитических мероприятий по контролю формирования и исполнения районного бюджета и бюджетов сельских поселений.</w:t>
      </w:r>
    </w:p>
    <w:p w14:paraId="3996E74D" w14:textId="623C8934" w:rsidR="00E528B4" w:rsidRDefault="00E528B4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lastRenderedPageBreak/>
        <w:t>Данный контроль проводился на трех последовательных стадиях:</w:t>
      </w:r>
    </w:p>
    <w:p w14:paraId="47688348" w14:textId="5FA3F6A2" w:rsidR="00E528B4" w:rsidRDefault="00E528B4" w:rsidP="00E528B4">
      <w:pPr>
        <w:pStyle w:val="a6"/>
        <w:numPr>
          <w:ilvl w:val="0"/>
          <w:numId w:val="7"/>
        </w:numPr>
        <w:spacing w:line="360" w:lineRule="auto"/>
        <w:jc w:val="both"/>
        <w:rPr>
          <w:sz w:val="34"/>
          <w:szCs w:val="34"/>
        </w:rPr>
      </w:pPr>
      <w:r w:rsidRPr="00E528B4">
        <w:rPr>
          <w:b/>
          <w:bCs/>
          <w:i/>
          <w:iCs/>
          <w:sz w:val="34"/>
          <w:szCs w:val="34"/>
        </w:rPr>
        <w:t>стадии предварительного контроля</w:t>
      </w:r>
      <w:r>
        <w:rPr>
          <w:sz w:val="34"/>
          <w:szCs w:val="34"/>
        </w:rPr>
        <w:t xml:space="preserve"> – экспертиза проектов бюджетов на очередной финансовый год и на плановый период,</w:t>
      </w:r>
    </w:p>
    <w:p w14:paraId="347459F7" w14:textId="4E6B9EA4" w:rsidR="00E528B4" w:rsidRDefault="00E528B4" w:rsidP="00E528B4">
      <w:pPr>
        <w:pStyle w:val="a6"/>
        <w:numPr>
          <w:ilvl w:val="0"/>
          <w:numId w:val="7"/>
        </w:numPr>
        <w:spacing w:line="360" w:lineRule="auto"/>
        <w:jc w:val="both"/>
        <w:rPr>
          <w:sz w:val="34"/>
          <w:szCs w:val="34"/>
        </w:rPr>
      </w:pPr>
      <w:r w:rsidRPr="00E528B4">
        <w:rPr>
          <w:b/>
          <w:bCs/>
          <w:i/>
          <w:iCs/>
          <w:sz w:val="34"/>
          <w:szCs w:val="34"/>
        </w:rPr>
        <w:t>стадии оперативного контроля</w:t>
      </w:r>
      <w:r>
        <w:rPr>
          <w:sz w:val="34"/>
          <w:szCs w:val="34"/>
        </w:rPr>
        <w:t xml:space="preserve"> – анализ исполнения бюджетов текущего финансового года,</w:t>
      </w:r>
    </w:p>
    <w:p w14:paraId="11B1D37F" w14:textId="609AE3D1" w:rsidR="00E528B4" w:rsidRPr="00E528B4" w:rsidRDefault="00E528B4" w:rsidP="00E528B4">
      <w:pPr>
        <w:pStyle w:val="a6"/>
        <w:numPr>
          <w:ilvl w:val="0"/>
          <w:numId w:val="7"/>
        </w:numPr>
        <w:spacing w:line="360" w:lineRule="auto"/>
        <w:jc w:val="both"/>
        <w:rPr>
          <w:sz w:val="34"/>
          <w:szCs w:val="34"/>
        </w:rPr>
      </w:pPr>
      <w:r w:rsidRPr="00E528B4">
        <w:rPr>
          <w:b/>
          <w:bCs/>
          <w:i/>
          <w:iCs/>
          <w:sz w:val="34"/>
          <w:szCs w:val="34"/>
        </w:rPr>
        <w:t>стадии последующего контроля</w:t>
      </w:r>
      <w:r>
        <w:rPr>
          <w:sz w:val="34"/>
          <w:szCs w:val="34"/>
        </w:rPr>
        <w:t xml:space="preserve"> – анализ годовых отчетов об исполнении бюджетов за отчетный финансовый год.</w:t>
      </w:r>
    </w:p>
    <w:p w14:paraId="49C8508C" w14:textId="349992FD" w:rsidR="00D82C16" w:rsidRPr="008417BF" w:rsidRDefault="00D82C16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417BF">
        <w:rPr>
          <w:rFonts w:ascii="Times New Roman" w:hAnsi="Times New Roman" w:cs="Times New Roman"/>
          <w:sz w:val="34"/>
          <w:szCs w:val="34"/>
        </w:rPr>
        <w:t xml:space="preserve">Контрольно-счетной комиссией проведено </w:t>
      </w:r>
      <w:r w:rsidR="0042081E">
        <w:rPr>
          <w:rFonts w:ascii="Times New Roman" w:hAnsi="Times New Roman" w:cs="Times New Roman"/>
          <w:sz w:val="34"/>
          <w:szCs w:val="34"/>
        </w:rPr>
        <w:t>101</w:t>
      </w:r>
      <w:r w:rsidR="00940519">
        <w:rPr>
          <w:rFonts w:ascii="Times New Roman" w:hAnsi="Times New Roman" w:cs="Times New Roman"/>
          <w:sz w:val="34"/>
          <w:szCs w:val="34"/>
        </w:rPr>
        <w:t xml:space="preserve"> </w:t>
      </w:r>
      <w:r w:rsidRPr="008417BF">
        <w:rPr>
          <w:rFonts w:ascii="Times New Roman" w:hAnsi="Times New Roman" w:cs="Times New Roman"/>
          <w:sz w:val="34"/>
          <w:szCs w:val="34"/>
        </w:rPr>
        <w:t>экспертно-аналитическ</w:t>
      </w:r>
      <w:r w:rsidR="0042081E">
        <w:rPr>
          <w:rFonts w:ascii="Times New Roman" w:hAnsi="Times New Roman" w:cs="Times New Roman"/>
          <w:sz w:val="34"/>
          <w:szCs w:val="34"/>
        </w:rPr>
        <w:t>ое</w:t>
      </w:r>
      <w:r w:rsidRPr="008417BF">
        <w:rPr>
          <w:rFonts w:ascii="Times New Roman" w:hAnsi="Times New Roman" w:cs="Times New Roman"/>
          <w:sz w:val="34"/>
          <w:szCs w:val="34"/>
        </w:rPr>
        <w:t xml:space="preserve"> мероприяти</w:t>
      </w:r>
      <w:r w:rsidR="0042081E">
        <w:rPr>
          <w:rFonts w:ascii="Times New Roman" w:hAnsi="Times New Roman" w:cs="Times New Roman"/>
          <w:sz w:val="34"/>
          <w:szCs w:val="34"/>
        </w:rPr>
        <w:t>е</w:t>
      </w:r>
      <w:r w:rsidRPr="008417BF">
        <w:rPr>
          <w:rFonts w:ascii="Times New Roman" w:hAnsi="Times New Roman" w:cs="Times New Roman"/>
          <w:sz w:val="34"/>
          <w:szCs w:val="34"/>
        </w:rPr>
        <w:t>, из них:</w:t>
      </w:r>
    </w:p>
    <w:p w14:paraId="71256B52" w14:textId="77777777" w:rsidR="004B3CE9" w:rsidRDefault="00D82C16" w:rsidP="00DD59BF">
      <w:pPr>
        <w:pStyle w:val="a6"/>
        <w:numPr>
          <w:ilvl w:val="0"/>
          <w:numId w:val="9"/>
        </w:numPr>
        <w:spacing w:line="360" w:lineRule="auto"/>
        <w:ind w:left="0" w:firstLine="709"/>
        <w:jc w:val="both"/>
        <w:rPr>
          <w:sz w:val="34"/>
          <w:szCs w:val="34"/>
        </w:rPr>
      </w:pPr>
      <w:r w:rsidRPr="004B3CE9">
        <w:rPr>
          <w:sz w:val="34"/>
          <w:szCs w:val="34"/>
        </w:rPr>
        <w:t>подготовлено 18 заключений по внешней проверке годовых отчетов</w:t>
      </w:r>
      <w:r w:rsidR="00E528B4" w:rsidRPr="004B3CE9">
        <w:rPr>
          <w:sz w:val="34"/>
          <w:szCs w:val="34"/>
        </w:rPr>
        <w:t>,</w:t>
      </w:r>
    </w:p>
    <w:p w14:paraId="73F4AB3B" w14:textId="77777777" w:rsidR="004B3CE9" w:rsidRDefault="00D82C16" w:rsidP="00DD59BF">
      <w:pPr>
        <w:pStyle w:val="a6"/>
        <w:numPr>
          <w:ilvl w:val="0"/>
          <w:numId w:val="9"/>
        </w:numPr>
        <w:spacing w:line="360" w:lineRule="auto"/>
        <w:ind w:left="0" w:firstLine="709"/>
        <w:jc w:val="both"/>
        <w:rPr>
          <w:sz w:val="34"/>
          <w:szCs w:val="34"/>
        </w:rPr>
      </w:pPr>
      <w:r w:rsidRPr="004B3CE9">
        <w:rPr>
          <w:sz w:val="34"/>
          <w:szCs w:val="34"/>
        </w:rPr>
        <w:t xml:space="preserve">подготовлено </w:t>
      </w:r>
      <w:r w:rsidR="004B3CE9">
        <w:rPr>
          <w:sz w:val="34"/>
          <w:szCs w:val="34"/>
        </w:rPr>
        <w:t>18</w:t>
      </w:r>
      <w:r w:rsidRPr="004B3CE9">
        <w:rPr>
          <w:sz w:val="34"/>
          <w:szCs w:val="34"/>
        </w:rPr>
        <w:t xml:space="preserve"> заключени</w:t>
      </w:r>
      <w:r w:rsidR="00C5452F" w:rsidRPr="004B3CE9">
        <w:rPr>
          <w:sz w:val="34"/>
          <w:szCs w:val="34"/>
        </w:rPr>
        <w:t>й</w:t>
      </w:r>
      <w:r w:rsidRPr="004B3CE9">
        <w:rPr>
          <w:sz w:val="34"/>
          <w:szCs w:val="34"/>
        </w:rPr>
        <w:t xml:space="preserve"> на проекты решений, связанные с формированием </w:t>
      </w:r>
      <w:r w:rsidR="004B3CE9" w:rsidRPr="004B3CE9">
        <w:rPr>
          <w:sz w:val="34"/>
          <w:szCs w:val="34"/>
        </w:rPr>
        <w:t>районного бюджета и бюджетов сельских поселений</w:t>
      </w:r>
      <w:r w:rsidR="004B3CE9">
        <w:rPr>
          <w:sz w:val="34"/>
          <w:szCs w:val="34"/>
        </w:rPr>
        <w:t>,</w:t>
      </w:r>
    </w:p>
    <w:p w14:paraId="63FCF7EC" w14:textId="1F016669" w:rsidR="004B3CE9" w:rsidRDefault="004B3CE9" w:rsidP="0077114B">
      <w:pPr>
        <w:pStyle w:val="a6"/>
        <w:numPr>
          <w:ilvl w:val="0"/>
          <w:numId w:val="9"/>
        </w:numPr>
        <w:spacing w:line="360" w:lineRule="auto"/>
        <w:ind w:left="0" w:firstLine="709"/>
        <w:jc w:val="both"/>
        <w:rPr>
          <w:sz w:val="34"/>
          <w:szCs w:val="34"/>
        </w:rPr>
      </w:pPr>
      <w:r w:rsidRPr="004B3CE9">
        <w:rPr>
          <w:sz w:val="34"/>
          <w:szCs w:val="34"/>
        </w:rPr>
        <w:t xml:space="preserve">подготовлено </w:t>
      </w:r>
      <w:r w:rsidR="00940519">
        <w:rPr>
          <w:sz w:val="34"/>
          <w:szCs w:val="34"/>
        </w:rPr>
        <w:t>61</w:t>
      </w:r>
      <w:r w:rsidRPr="004B3CE9">
        <w:rPr>
          <w:sz w:val="34"/>
          <w:szCs w:val="34"/>
        </w:rPr>
        <w:t xml:space="preserve"> заключени</w:t>
      </w:r>
      <w:r w:rsidR="0042081E">
        <w:rPr>
          <w:sz w:val="34"/>
          <w:szCs w:val="34"/>
        </w:rPr>
        <w:t>е</w:t>
      </w:r>
      <w:r w:rsidRPr="004B3CE9">
        <w:rPr>
          <w:sz w:val="34"/>
          <w:szCs w:val="34"/>
        </w:rPr>
        <w:t xml:space="preserve"> на проекты решений, связанные с</w:t>
      </w:r>
      <w:r w:rsidR="00D82C16" w:rsidRPr="004B3CE9">
        <w:rPr>
          <w:sz w:val="34"/>
          <w:szCs w:val="34"/>
        </w:rPr>
        <w:t xml:space="preserve"> исполнением районного бюджета и бюджетов сельских поселений</w:t>
      </w:r>
      <w:r w:rsidRPr="004B3CE9">
        <w:rPr>
          <w:sz w:val="34"/>
          <w:szCs w:val="34"/>
        </w:rPr>
        <w:t>,</w:t>
      </w:r>
      <w:r w:rsidR="00D82C16" w:rsidRPr="004B3CE9">
        <w:rPr>
          <w:sz w:val="34"/>
          <w:szCs w:val="34"/>
        </w:rPr>
        <w:t xml:space="preserve"> вносимых в них изменений</w:t>
      </w:r>
      <w:r w:rsidRPr="004B3CE9">
        <w:rPr>
          <w:sz w:val="34"/>
          <w:szCs w:val="34"/>
        </w:rPr>
        <w:t>,</w:t>
      </w:r>
    </w:p>
    <w:p w14:paraId="2F826ACE" w14:textId="275A10B0" w:rsidR="00B020BE" w:rsidRPr="00940519" w:rsidRDefault="00D82C16" w:rsidP="00363CA2">
      <w:pPr>
        <w:pStyle w:val="a6"/>
        <w:numPr>
          <w:ilvl w:val="0"/>
          <w:numId w:val="9"/>
        </w:numPr>
        <w:spacing w:line="360" w:lineRule="auto"/>
        <w:ind w:left="0" w:firstLine="709"/>
        <w:jc w:val="both"/>
        <w:rPr>
          <w:sz w:val="34"/>
          <w:szCs w:val="34"/>
        </w:rPr>
      </w:pPr>
      <w:r w:rsidRPr="00940519">
        <w:rPr>
          <w:sz w:val="34"/>
          <w:szCs w:val="34"/>
        </w:rPr>
        <w:t>подготовлен</w:t>
      </w:r>
      <w:r w:rsidR="00940519" w:rsidRPr="00940519">
        <w:rPr>
          <w:sz w:val="34"/>
          <w:szCs w:val="34"/>
        </w:rPr>
        <w:t>о</w:t>
      </w:r>
      <w:r w:rsidRPr="00940519">
        <w:rPr>
          <w:sz w:val="34"/>
          <w:szCs w:val="34"/>
        </w:rPr>
        <w:t xml:space="preserve"> </w:t>
      </w:r>
      <w:r w:rsidR="00944F7B" w:rsidRPr="00940519">
        <w:rPr>
          <w:sz w:val="34"/>
          <w:szCs w:val="34"/>
        </w:rPr>
        <w:t xml:space="preserve">1 </w:t>
      </w:r>
      <w:r w:rsidRPr="00940519">
        <w:rPr>
          <w:sz w:val="34"/>
          <w:szCs w:val="34"/>
        </w:rPr>
        <w:t>заключени</w:t>
      </w:r>
      <w:r w:rsidR="00940519" w:rsidRPr="00940519">
        <w:rPr>
          <w:sz w:val="34"/>
          <w:szCs w:val="34"/>
        </w:rPr>
        <w:t>е</w:t>
      </w:r>
      <w:r w:rsidRPr="00940519">
        <w:rPr>
          <w:sz w:val="34"/>
          <w:szCs w:val="34"/>
        </w:rPr>
        <w:t xml:space="preserve"> по вносимым изменениям в муници</w:t>
      </w:r>
      <w:r w:rsidR="00CB6887" w:rsidRPr="00940519">
        <w:rPr>
          <w:sz w:val="34"/>
          <w:szCs w:val="34"/>
        </w:rPr>
        <w:t>пальн</w:t>
      </w:r>
      <w:r w:rsidR="00940519" w:rsidRPr="00940519">
        <w:rPr>
          <w:sz w:val="34"/>
          <w:szCs w:val="34"/>
        </w:rPr>
        <w:t>ую</w:t>
      </w:r>
      <w:r w:rsidR="00CB6887" w:rsidRPr="00940519">
        <w:rPr>
          <w:sz w:val="34"/>
          <w:szCs w:val="34"/>
        </w:rPr>
        <w:t xml:space="preserve"> программ</w:t>
      </w:r>
      <w:r w:rsidR="00940519" w:rsidRPr="00940519">
        <w:rPr>
          <w:sz w:val="34"/>
          <w:szCs w:val="34"/>
        </w:rPr>
        <w:t>у</w:t>
      </w:r>
      <w:r w:rsidR="00940519">
        <w:rPr>
          <w:sz w:val="34"/>
          <w:szCs w:val="34"/>
        </w:rPr>
        <w:t xml:space="preserve"> </w:t>
      </w:r>
      <w:r w:rsidR="00B020BE" w:rsidRPr="00940519">
        <w:rPr>
          <w:sz w:val="34"/>
          <w:szCs w:val="34"/>
        </w:rPr>
        <w:t>«Развитие образования Добринского муниципального района на 2019-2024 годы»,</w:t>
      </w:r>
    </w:p>
    <w:p w14:paraId="0F9F672C" w14:textId="6139008D" w:rsidR="00CB6887" w:rsidRDefault="00BF7197" w:rsidP="00C544B2">
      <w:pPr>
        <w:pStyle w:val="a6"/>
        <w:numPr>
          <w:ilvl w:val="0"/>
          <w:numId w:val="9"/>
        </w:numPr>
        <w:spacing w:line="360" w:lineRule="auto"/>
        <w:ind w:left="0" w:firstLine="709"/>
        <w:jc w:val="both"/>
        <w:rPr>
          <w:sz w:val="34"/>
          <w:szCs w:val="34"/>
        </w:rPr>
      </w:pPr>
      <w:r>
        <w:rPr>
          <w:sz w:val="34"/>
          <w:szCs w:val="34"/>
        </w:rPr>
        <w:lastRenderedPageBreak/>
        <w:t xml:space="preserve">мониторинг </w:t>
      </w:r>
      <w:r w:rsidR="00CB6887" w:rsidRPr="004B3CE9">
        <w:rPr>
          <w:sz w:val="34"/>
          <w:szCs w:val="34"/>
        </w:rPr>
        <w:t>исполнени</w:t>
      </w:r>
      <w:r>
        <w:rPr>
          <w:sz w:val="34"/>
          <w:szCs w:val="34"/>
        </w:rPr>
        <w:t>я</w:t>
      </w:r>
      <w:r w:rsidR="00CB6887" w:rsidRPr="004B3CE9">
        <w:rPr>
          <w:sz w:val="34"/>
          <w:szCs w:val="34"/>
        </w:rPr>
        <w:t xml:space="preserve"> районного и консолидированного бюджетов</w:t>
      </w:r>
      <w:r>
        <w:rPr>
          <w:sz w:val="34"/>
          <w:szCs w:val="34"/>
        </w:rPr>
        <w:t xml:space="preserve"> за 3, 6 и 9 месяцев 2020 года</w:t>
      </w:r>
      <w:r w:rsidR="00CB6887" w:rsidRPr="004B3CE9">
        <w:rPr>
          <w:sz w:val="34"/>
          <w:szCs w:val="34"/>
        </w:rPr>
        <w:t>.</w:t>
      </w:r>
    </w:p>
    <w:p w14:paraId="62AB6B02" w14:textId="1B810A4F" w:rsidR="002143B6" w:rsidRPr="002143B6" w:rsidRDefault="003E5A93" w:rsidP="00214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В заключениях на проекты бюджетов на 20</w:t>
      </w:r>
      <w:r w:rsidR="0042081E">
        <w:rPr>
          <w:rFonts w:ascii="Times New Roman" w:hAnsi="Times New Roman" w:cs="Times New Roman"/>
          <w:sz w:val="34"/>
          <w:szCs w:val="34"/>
        </w:rPr>
        <w:t>21</w:t>
      </w:r>
      <w:r>
        <w:rPr>
          <w:rFonts w:ascii="Times New Roman" w:hAnsi="Times New Roman" w:cs="Times New Roman"/>
          <w:sz w:val="34"/>
          <w:szCs w:val="34"/>
        </w:rPr>
        <w:t xml:space="preserve"> год и на плановый период 20</w:t>
      </w:r>
      <w:r w:rsidR="0042081E">
        <w:rPr>
          <w:rFonts w:ascii="Times New Roman" w:hAnsi="Times New Roman" w:cs="Times New Roman"/>
          <w:sz w:val="34"/>
          <w:szCs w:val="34"/>
        </w:rPr>
        <w:t>22</w:t>
      </w:r>
      <w:r>
        <w:rPr>
          <w:rFonts w:ascii="Times New Roman" w:hAnsi="Times New Roman" w:cs="Times New Roman"/>
          <w:sz w:val="34"/>
          <w:szCs w:val="34"/>
        </w:rPr>
        <w:t xml:space="preserve"> и 202</w:t>
      </w:r>
      <w:r w:rsidR="0042081E">
        <w:rPr>
          <w:rFonts w:ascii="Times New Roman" w:hAnsi="Times New Roman" w:cs="Times New Roman"/>
          <w:sz w:val="34"/>
          <w:szCs w:val="34"/>
        </w:rPr>
        <w:t>3</w:t>
      </w:r>
      <w:r>
        <w:rPr>
          <w:rFonts w:ascii="Times New Roman" w:hAnsi="Times New Roman" w:cs="Times New Roman"/>
          <w:sz w:val="34"/>
          <w:szCs w:val="34"/>
        </w:rPr>
        <w:t xml:space="preserve"> годов сделаны выводы </w:t>
      </w:r>
      <w:r w:rsidR="002143B6">
        <w:rPr>
          <w:rFonts w:ascii="Times New Roman" w:hAnsi="Times New Roman" w:cs="Times New Roman"/>
          <w:sz w:val="34"/>
          <w:szCs w:val="34"/>
        </w:rPr>
        <w:t>о том, что п</w:t>
      </w:r>
      <w:r w:rsidR="002143B6" w:rsidRPr="002143B6">
        <w:rPr>
          <w:rFonts w:ascii="Times New Roman" w:hAnsi="Times New Roman" w:cs="Times New Roman"/>
          <w:sz w:val="34"/>
          <w:szCs w:val="34"/>
        </w:rPr>
        <w:t>роект</w:t>
      </w:r>
      <w:r w:rsidR="002143B6">
        <w:rPr>
          <w:rFonts w:ascii="Times New Roman" w:hAnsi="Times New Roman" w:cs="Times New Roman"/>
          <w:sz w:val="34"/>
          <w:szCs w:val="34"/>
        </w:rPr>
        <w:t>ы</w:t>
      </w:r>
      <w:r w:rsidR="002143B6" w:rsidRPr="002143B6">
        <w:rPr>
          <w:rFonts w:ascii="Times New Roman" w:hAnsi="Times New Roman" w:cs="Times New Roman"/>
          <w:sz w:val="34"/>
          <w:szCs w:val="34"/>
        </w:rPr>
        <w:t xml:space="preserve"> бюджет</w:t>
      </w:r>
      <w:r w:rsidR="002143B6">
        <w:rPr>
          <w:rFonts w:ascii="Times New Roman" w:hAnsi="Times New Roman" w:cs="Times New Roman"/>
          <w:sz w:val="34"/>
          <w:szCs w:val="34"/>
        </w:rPr>
        <w:t>ов</w:t>
      </w:r>
      <w:r w:rsidR="002143B6" w:rsidRPr="002143B6">
        <w:rPr>
          <w:rFonts w:ascii="Times New Roman" w:hAnsi="Times New Roman" w:cs="Times New Roman"/>
          <w:sz w:val="34"/>
          <w:szCs w:val="34"/>
        </w:rPr>
        <w:t xml:space="preserve"> внесен</w:t>
      </w:r>
      <w:r w:rsidR="002143B6">
        <w:rPr>
          <w:rFonts w:ascii="Times New Roman" w:hAnsi="Times New Roman" w:cs="Times New Roman"/>
          <w:sz w:val="34"/>
          <w:szCs w:val="34"/>
        </w:rPr>
        <w:t>ы</w:t>
      </w:r>
      <w:r w:rsidR="002143B6" w:rsidRPr="002143B6">
        <w:rPr>
          <w:rFonts w:ascii="Times New Roman" w:hAnsi="Times New Roman" w:cs="Times New Roman"/>
          <w:sz w:val="34"/>
          <w:szCs w:val="34"/>
        </w:rPr>
        <w:t xml:space="preserve"> на рассмотрение в установленны</w:t>
      </w:r>
      <w:r w:rsidR="002143B6">
        <w:rPr>
          <w:rFonts w:ascii="Times New Roman" w:hAnsi="Times New Roman" w:cs="Times New Roman"/>
          <w:sz w:val="34"/>
          <w:szCs w:val="34"/>
        </w:rPr>
        <w:t xml:space="preserve">е </w:t>
      </w:r>
      <w:r w:rsidR="002143B6" w:rsidRPr="002143B6">
        <w:rPr>
          <w:rFonts w:ascii="Times New Roman" w:hAnsi="Times New Roman" w:cs="Times New Roman"/>
          <w:sz w:val="34"/>
          <w:szCs w:val="34"/>
        </w:rPr>
        <w:t>срок</w:t>
      </w:r>
      <w:r w:rsidR="002143B6">
        <w:rPr>
          <w:rFonts w:ascii="Times New Roman" w:hAnsi="Times New Roman" w:cs="Times New Roman"/>
          <w:sz w:val="34"/>
          <w:szCs w:val="34"/>
        </w:rPr>
        <w:t>и</w:t>
      </w:r>
      <w:r w:rsidR="002143B6" w:rsidRPr="002143B6">
        <w:rPr>
          <w:rFonts w:ascii="Times New Roman" w:hAnsi="Times New Roman" w:cs="Times New Roman"/>
          <w:sz w:val="34"/>
          <w:szCs w:val="34"/>
        </w:rPr>
        <w:t>, в полном объеме и содерж</w:t>
      </w:r>
      <w:r w:rsidR="002143B6">
        <w:rPr>
          <w:rFonts w:ascii="Times New Roman" w:hAnsi="Times New Roman" w:cs="Times New Roman"/>
          <w:sz w:val="34"/>
          <w:szCs w:val="34"/>
        </w:rPr>
        <w:t>а</w:t>
      </w:r>
      <w:r w:rsidR="002143B6" w:rsidRPr="002143B6">
        <w:rPr>
          <w:rFonts w:ascii="Times New Roman" w:hAnsi="Times New Roman" w:cs="Times New Roman"/>
          <w:sz w:val="34"/>
          <w:szCs w:val="34"/>
        </w:rPr>
        <w:t>т все основные параметры, необходимые для принятия Решения о бюджете, установленные статьей 184.1 Бюджетного кодекса РФ.</w:t>
      </w:r>
    </w:p>
    <w:p w14:paraId="653510F4" w14:textId="3AE34675" w:rsidR="002143B6" w:rsidRPr="002143B6" w:rsidRDefault="002143B6" w:rsidP="00214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143B6">
        <w:rPr>
          <w:rFonts w:ascii="Times New Roman" w:hAnsi="Times New Roman" w:cs="Times New Roman"/>
          <w:sz w:val="34"/>
          <w:szCs w:val="34"/>
        </w:rPr>
        <w:t>Размеры дефицит</w:t>
      </w:r>
      <w:r>
        <w:rPr>
          <w:rFonts w:ascii="Times New Roman" w:hAnsi="Times New Roman" w:cs="Times New Roman"/>
          <w:sz w:val="34"/>
          <w:szCs w:val="34"/>
        </w:rPr>
        <w:t>а</w:t>
      </w:r>
      <w:r w:rsidRPr="002143B6">
        <w:rPr>
          <w:rFonts w:ascii="Times New Roman" w:hAnsi="Times New Roman" w:cs="Times New Roman"/>
          <w:sz w:val="34"/>
          <w:szCs w:val="34"/>
        </w:rPr>
        <w:t xml:space="preserve"> бюджет</w:t>
      </w:r>
      <w:r>
        <w:rPr>
          <w:rFonts w:ascii="Times New Roman" w:hAnsi="Times New Roman" w:cs="Times New Roman"/>
          <w:sz w:val="34"/>
          <w:szCs w:val="34"/>
        </w:rPr>
        <w:t>ов</w:t>
      </w:r>
      <w:r w:rsidRPr="002143B6">
        <w:rPr>
          <w:rFonts w:ascii="Times New Roman" w:hAnsi="Times New Roman" w:cs="Times New Roman"/>
          <w:sz w:val="34"/>
          <w:szCs w:val="34"/>
        </w:rPr>
        <w:t xml:space="preserve">, муниципального долга, резервного фонда не превышают предельных соотношений, определенных Бюджетным кодексом. </w:t>
      </w:r>
    </w:p>
    <w:p w14:paraId="3FD849B1" w14:textId="59130A13" w:rsidR="002143B6" w:rsidRDefault="002143B6" w:rsidP="00214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143B6">
        <w:rPr>
          <w:rFonts w:ascii="Times New Roman" w:hAnsi="Times New Roman" w:cs="Times New Roman"/>
          <w:sz w:val="34"/>
          <w:szCs w:val="34"/>
        </w:rPr>
        <w:t>Объем предусмотренных расходов соответствует суммарному объему доходов и источников финансирования бюджета, т.е. соблюдается принцип сбалансированности бюджет</w:t>
      </w:r>
      <w:r>
        <w:rPr>
          <w:rFonts w:ascii="Times New Roman" w:hAnsi="Times New Roman" w:cs="Times New Roman"/>
          <w:sz w:val="34"/>
          <w:szCs w:val="34"/>
        </w:rPr>
        <w:t>ов</w:t>
      </w:r>
      <w:r w:rsidRPr="002143B6">
        <w:rPr>
          <w:rFonts w:ascii="Times New Roman" w:hAnsi="Times New Roman" w:cs="Times New Roman"/>
          <w:sz w:val="34"/>
          <w:szCs w:val="34"/>
        </w:rPr>
        <w:t>.</w:t>
      </w:r>
    </w:p>
    <w:p w14:paraId="4A7658A3" w14:textId="395F65AE" w:rsidR="002143B6" w:rsidRDefault="002143B6" w:rsidP="00214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По результатам проведенных экспертиз проекты бюджетов были рекомендованы Советам депутатов к принятию.</w:t>
      </w:r>
    </w:p>
    <w:p w14:paraId="1BCC8F97" w14:textId="62F8D0E5" w:rsidR="00A35AEB" w:rsidRDefault="00D426D5" w:rsidP="00214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В рамках осуществления контроля в целях установления законности исполнения бюджетов, достоверности учета и отчетности КСК в 20</w:t>
      </w:r>
      <w:r w:rsidR="0042081E">
        <w:rPr>
          <w:rFonts w:ascii="Times New Roman" w:hAnsi="Times New Roman" w:cs="Times New Roman"/>
          <w:sz w:val="34"/>
          <w:szCs w:val="34"/>
        </w:rPr>
        <w:t>20</w:t>
      </w:r>
      <w:r>
        <w:rPr>
          <w:rFonts w:ascii="Times New Roman" w:hAnsi="Times New Roman" w:cs="Times New Roman"/>
          <w:sz w:val="34"/>
          <w:szCs w:val="34"/>
        </w:rPr>
        <w:t xml:space="preserve"> году подготовлены заключения на годовой отчет об исполнении районного бюджета и бюджетов сельских поселений за 201</w:t>
      </w:r>
      <w:r w:rsidR="0042081E">
        <w:rPr>
          <w:rFonts w:ascii="Times New Roman" w:hAnsi="Times New Roman" w:cs="Times New Roman"/>
          <w:sz w:val="34"/>
          <w:szCs w:val="34"/>
        </w:rPr>
        <w:t>9</w:t>
      </w:r>
      <w:r>
        <w:rPr>
          <w:rFonts w:ascii="Times New Roman" w:hAnsi="Times New Roman" w:cs="Times New Roman"/>
          <w:sz w:val="34"/>
          <w:szCs w:val="34"/>
        </w:rPr>
        <w:t xml:space="preserve"> год.</w:t>
      </w:r>
      <w:r w:rsidR="00BF7197">
        <w:rPr>
          <w:rFonts w:ascii="Times New Roman" w:hAnsi="Times New Roman" w:cs="Times New Roman"/>
          <w:sz w:val="34"/>
          <w:szCs w:val="34"/>
        </w:rPr>
        <w:t xml:space="preserve"> При подготовке заключений использовались материалы проведенных контрольных </w:t>
      </w:r>
      <w:r w:rsidR="00BF7197">
        <w:rPr>
          <w:rFonts w:ascii="Times New Roman" w:hAnsi="Times New Roman" w:cs="Times New Roman"/>
          <w:sz w:val="34"/>
          <w:szCs w:val="34"/>
        </w:rPr>
        <w:lastRenderedPageBreak/>
        <w:t>мероприятий и результаты внешних проверок годовой бюджетной отчетности.</w:t>
      </w:r>
    </w:p>
    <w:p w14:paraId="3A63F01D" w14:textId="4DF21E0F" w:rsidR="00757443" w:rsidRDefault="00757443" w:rsidP="00214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В заключении на годовой отчет об исполнении районного бюджета за 201</w:t>
      </w:r>
      <w:r w:rsidR="0042081E">
        <w:rPr>
          <w:rFonts w:ascii="Times New Roman" w:hAnsi="Times New Roman" w:cs="Times New Roman"/>
          <w:sz w:val="34"/>
          <w:szCs w:val="34"/>
        </w:rPr>
        <w:t>9</w:t>
      </w:r>
      <w:r>
        <w:rPr>
          <w:rFonts w:ascii="Times New Roman" w:hAnsi="Times New Roman" w:cs="Times New Roman"/>
          <w:sz w:val="34"/>
          <w:szCs w:val="34"/>
        </w:rPr>
        <w:t xml:space="preserve"> год отражены итоги исполнения районного бюджета с учетом результатов проверок бюджетной отчетности 6 главных администраторов бюджетных средств.</w:t>
      </w:r>
    </w:p>
    <w:p w14:paraId="04DF165D" w14:textId="02746AF2" w:rsidR="004C79CF" w:rsidRDefault="00BF7197" w:rsidP="00214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В течение года КСК</w:t>
      </w:r>
      <w:r w:rsidR="00FD5437">
        <w:rPr>
          <w:rFonts w:ascii="Times New Roman" w:hAnsi="Times New Roman" w:cs="Times New Roman"/>
          <w:sz w:val="34"/>
          <w:szCs w:val="34"/>
        </w:rPr>
        <w:t xml:space="preserve"> осуществляла оперативный контроль за исполнением районного и консолидированного бюджетов, полнотой поступлений доходов, расходованием бюджетных ассигнований в сравнении с утвержденными назначениями, проводила их анализ. Контроль осуществлялся на основании отчетов об исполнении районного и консолидированного бюджетов за первый квартал, первое полугодие и 9 месяцев 2020 года.</w:t>
      </w:r>
    </w:p>
    <w:p w14:paraId="5B3EC10E" w14:textId="57A0DB3D" w:rsidR="004C79CF" w:rsidRDefault="00FD5437" w:rsidP="00214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Информация о ходе исполнения бюджетов </w:t>
      </w:r>
      <w:r w:rsidR="004C79CF">
        <w:rPr>
          <w:rFonts w:ascii="Times New Roman" w:hAnsi="Times New Roman" w:cs="Times New Roman"/>
          <w:sz w:val="34"/>
          <w:szCs w:val="34"/>
        </w:rPr>
        <w:t>направлялись</w:t>
      </w:r>
      <w:r w:rsidR="00E34B1D">
        <w:rPr>
          <w:rFonts w:ascii="Times New Roman" w:hAnsi="Times New Roman" w:cs="Times New Roman"/>
          <w:sz w:val="34"/>
          <w:szCs w:val="34"/>
        </w:rPr>
        <w:t xml:space="preserve"> в Совет депутатов муниципального района и администрацию муниципального района.</w:t>
      </w:r>
    </w:p>
    <w:p w14:paraId="4BF13166" w14:textId="77777777" w:rsidR="00CB6887" w:rsidRPr="002A0C45" w:rsidRDefault="001C1801" w:rsidP="00B020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A0C45">
        <w:rPr>
          <w:rFonts w:ascii="Times New Roman" w:hAnsi="Times New Roman" w:cs="Times New Roman"/>
          <w:b/>
          <w:sz w:val="34"/>
          <w:szCs w:val="34"/>
        </w:rPr>
        <w:t>Задачи на перспективу</w:t>
      </w:r>
      <w:r w:rsidR="0051684B" w:rsidRPr="002A0C45">
        <w:rPr>
          <w:rFonts w:ascii="Times New Roman" w:hAnsi="Times New Roman" w:cs="Times New Roman"/>
          <w:b/>
          <w:sz w:val="34"/>
          <w:szCs w:val="34"/>
        </w:rPr>
        <w:t>.</w:t>
      </w:r>
    </w:p>
    <w:p w14:paraId="7F00EC25" w14:textId="169791A7" w:rsidR="00E5231C" w:rsidRDefault="006756ED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417BF">
        <w:rPr>
          <w:rFonts w:ascii="Times New Roman" w:hAnsi="Times New Roman" w:cs="Times New Roman"/>
          <w:sz w:val="34"/>
          <w:szCs w:val="34"/>
        </w:rPr>
        <w:t>Деятельность К</w:t>
      </w:r>
      <w:r w:rsidR="000118AB" w:rsidRPr="008417BF">
        <w:rPr>
          <w:rFonts w:ascii="Times New Roman" w:hAnsi="Times New Roman" w:cs="Times New Roman"/>
          <w:sz w:val="34"/>
          <w:szCs w:val="34"/>
        </w:rPr>
        <w:t>о</w:t>
      </w:r>
      <w:r w:rsidRPr="008417BF">
        <w:rPr>
          <w:rFonts w:ascii="Times New Roman" w:hAnsi="Times New Roman" w:cs="Times New Roman"/>
          <w:sz w:val="34"/>
          <w:szCs w:val="34"/>
        </w:rPr>
        <w:t xml:space="preserve">нтрольно-счетной </w:t>
      </w:r>
      <w:r w:rsidR="000118AB" w:rsidRPr="008417BF">
        <w:rPr>
          <w:rFonts w:ascii="Times New Roman" w:hAnsi="Times New Roman" w:cs="Times New Roman"/>
          <w:sz w:val="34"/>
          <w:szCs w:val="34"/>
        </w:rPr>
        <w:t xml:space="preserve">комиссии </w:t>
      </w:r>
      <w:r w:rsidRPr="008417BF">
        <w:rPr>
          <w:rFonts w:ascii="Times New Roman" w:hAnsi="Times New Roman" w:cs="Times New Roman"/>
          <w:sz w:val="34"/>
          <w:szCs w:val="34"/>
        </w:rPr>
        <w:t>в 20</w:t>
      </w:r>
      <w:r w:rsidR="00334769">
        <w:rPr>
          <w:rFonts w:ascii="Times New Roman" w:hAnsi="Times New Roman" w:cs="Times New Roman"/>
          <w:sz w:val="34"/>
          <w:szCs w:val="34"/>
        </w:rPr>
        <w:t>2</w:t>
      </w:r>
      <w:r w:rsidR="0042081E">
        <w:rPr>
          <w:rFonts w:ascii="Times New Roman" w:hAnsi="Times New Roman" w:cs="Times New Roman"/>
          <w:sz w:val="34"/>
          <w:szCs w:val="34"/>
        </w:rPr>
        <w:t>1</w:t>
      </w:r>
      <w:r w:rsidRPr="008417BF">
        <w:rPr>
          <w:rFonts w:ascii="Times New Roman" w:hAnsi="Times New Roman" w:cs="Times New Roman"/>
          <w:sz w:val="34"/>
          <w:szCs w:val="34"/>
        </w:rPr>
        <w:t xml:space="preserve"> году</w:t>
      </w:r>
      <w:r w:rsidR="00E03C22" w:rsidRPr="008417BF">
        <w:rPr>
          <w:rFonts w:ascii="Times New Roman" w:hAnsi="Times New Roman" w:cs="Times New Roman"/>
          <w:sz w:val="34"/>
          <w:szCs w:val="34"/>
        </w:rPr>
        <w:t xml:space="preserve"> будет осуществляться в соответствии с </w:t>
      </w:r>
      <w:r w:rsidR="008417BF" w:rsidRPr="008417BF">
        <w:rPr>
          <w:rFonts w:ascii="Times New Roman" w:hAnsi="Times New Roman" w:cs="Times New Roman"/>
          <w:sz w:val="34"/>
          <w:szCs w:val="34"/>
        </w:rPr>
        <w:t xml:space="preserve">утвержденным </w:t>
      </w:r>
      <w:r w:rsidR="00E03C22" w:rsidRPr="008417BF">
        <w:rPr>
          <w:rFonts w:ascii="Times New Roman" w:hAnsi="Times New Roman" w:cs="Times New Roman"/>
          <w:sz w:val="34"/>
          <w:szCs w:val="34"/>
        </w:rPr>
        <w:t>планом работы</w:t>
      </w:r>
      <w:r w:rsidR="00E5231C" w:rsidRPr="008417BF">
        <w:rPr>
          <w:rFonts w:ascii="Times New Roman" w:hAnsi="Times New Roman" w:cs="Times New Roman"/>
          <w:sz w:val="34"/>
          <w:szCs w:val="34"/>
        </w:rPr>
        <w:t>.</w:t>
      </w:r>
      <w:r w:rsidR="00E03C22" w:rsidRPr="008417BF">
        <w:rPr>
          <w:rFonts w:ascii="Times New Roman" w:hAnsi="Times New Roman" w:cs="Times New Roman"/>
          <w:sz w:val="34"/>
          <w:szCs w:val="34"/>
        </w:rPr>
        <w:t xml:space="preserve"> </w:t>
      </w:r>
      <w:r w:rsidR="00BC38D7">
        <w:rPr>
          <w:rFonts w:ascii="Times New Roman" w:hAnsi="Times New Roman" w:cs="Times New Roman"/>
          <w:sz w:val="34"/>
          <w:szCs w:val="34"/>
        </w:rPr>
        <w:t>План работы КСК на 202</w:t>
      </w:r>
      <w:r w:rsidR="0042081E">
        <w:rPr>
          <w:rFonts w:ascii="Times New Roman" w:hAnsi="Times New Roman" w:cs="Times New Roman"/>
          <w:sz w:val="34"/>
          <w:szCs w:val="34"/>
        </w:rPr>
        <w:t>1</w:t>
      </w:r>
      <w:r w:rsidR="00BC38D7">
        <w:rPr>
          <w:rFonts w:ascii="Times New Roman" w:hAnsi="Times New Roman" w:cs="Times New Roman"/>
          <w:sz w:val="34"/>
          <w:szCs w:val="34"/>
        </w:rPr>
        <w:t xml:space="preserve"> год утвержден распоряжением от 2</w:t>
      </w:r>
      <w:r w:rsidR="002A0C45">
        <w:rPr>
          <w:rFonts w:ascii="Times New Roman" w:hAnsi="Times New Roman" w:cs="Times New Roman"/>
          <w:sz w:val="34"/>
          <w:szCs w:val="34"/>
        </w:rPr>
        <w:t>9</w:t>
      </w:r>
      <w:r w:rsidR="00BC38D7">
        <w:rPr>
          <w:rFonts w:ascii="Times New Roman" w:hAnsi="Times New Roman" w:cs="Times New Roman"/>
          <w:sz w:val="34"/>
          <w:szCs w:val="34"/>
        </w:rPr>
        <w:t>.12.20</w:t>
      </w:r>
      <w:r w:rsidR="002A0C45">
        <w:rPr>
          <w:rFonts w:ascii="Times New Roman" w:hAnsi="Times New Roman" w:cs="Times New Roman"/>
          <w:sz w:val="34"/>
          <w:szCs w:val="34"/>
        </w:rPr>
        <w:t>20</w:t>
      </w:r>
      <w:r w:rsidR="00BC38D7">
        <w:rPr>
          <w:rFonts w:ascii="Times New Roman" w:hAnsi="Times New Roman" w:cs="Times New Roman"/>
          <w:sz w:val="34"/>
          <w:szCs w:val="34"/>
        </w:rPr>
        <w:t>г. №3</w:t>
      </w:r>
      <w:r w:rsidR="002A0C45">
        <w:rPr>
          <w:rFonts w:ascii="Times New Roman" w:hAnsi="Times New Roman" w:cs="Times New Roman"/>
          <w:sz w:val="34"/>
          <w:szCs w:val="34"/>
        </w:rPr>
        <w:t>1</w:t>
      </w:r>
      <w:r w:rsidR="00BC38D7">
        <w:rPr>
          <w:rFonts w:ascii="Times New Roman" w:hAnsi="Times New Roman" w:cs="Times New Roman"/>
          <w:sz w:val="34"/>
          <w:szCs w:val="34"/>
        </w:rPr>
        <w:t>-р и размещен в сети интернет на странице официального сайта администрации Добринского муниципального района.</w:t>
      </w:r>
      <w:r w:rsidR="00622B63">
        <w:rPr>
          <w:rFonts w:ascii="Times New Roman" w:hAnsi="Times New Roman" w:cs="Times New Roman"/>
          <w:sz w:val="34"/>
          <w:szCs w:val="34"/>
        </w:rPr>
        <w:t xml:space="preserve"> Следует отметить, что </w:t>
      </w:r>
      <w:r w:rsidR="00622B63">
        <w:rPr>
          <w:rFonts w:ascii="Times New Roman" w:hAnsi="Times New Roman" w:cs="Times New Roman"/>
          <w:sz w:val="34"/>
          <w:szCs w:val="34"/>
        </w:rPr>
        <w:lastRenderedPageBreak/>
        <w:t>планом предусмотрено исключение дублирования проверок с другими контрольными органами при проведении контрольных мероприятий у главных распорядителей и получателей бюджетных средств.</w:t>
      </w:r>
    </w:p>
    <w:p w14:paraId="4FBB6079" w14:textId="6B82CEB0" w:rsidR="008F4E2B" w:rsidRPr="008417BF" w:rsidRDefault="008F4E2B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В 2021 году КСК продолжит работу по разработке необходимых для контрольной и экспертно-аналитической деятельности стандартов внешнего муниципального финансового контроля.</w:t>
      </w:r>
    </w:p>
    <w:p w14:paraId="61703C54" w14:textId="1A5A9619" w:rsidR="00CB6887" w:rsidRPr="008417BF" w:rsidRDefault="00CB6887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417BF">
        <w:rPr>
          <w:rFonts w:ascii="Times New Roman" w:hAnsi="Times New Roman" w:cs="Times New Roman"/>
          <w:sz w:val="34"/>
          <w:szCs w:val="34"/>
        </w:rPr>
        <w:t>Одной из основных задач Контрольно-счетной комиссии в 20</w:t>
      </w:r>
      <w:r w:rsidR="00334769">
        <w:rPr>
          <w:rFonts w:ascii="Times New Roman" w:hAnsi="Times New Roman" w:cs="Times New Roman"/>
          <w:sz w:val="34"/>
          <w:szCs w:val="34"/>
        </w:rPr>
        <w:t>2</w:t>
      </w:r>
      <w:r w:rsidR="002A0C45">
        <w:rPr>
          <w:rFonts w:ascii="Times New Roman" w:hAnsi="Times New Roman" w:cs="Times New Roman"/>
          <w:sz w:val="34"/>
          <w:szCs w:val="34"/>
        </w:rPr>
        <w:t>1</w:t>
      </w:r>
      <w:r w:rsidRPr="008417BF">
        <w:rPr>
          <w:rFonts w:ascii="Times New Roman" w:hAnsi="Times New Roman" w:cs="Times New Roman"/>
          <w:sz w:val="34"/>
          <w:szCs w:val="34"/>
        </w:rPr>
        <w:t xml:space="preserve"> году будет оставаться предоставление объективной и независимой информации о формировании и исполнении районного бюджета и бюджетов сельских поселений, эффективности и результативности по управлению и распоряжению муниципальными финансами и имуществом.</w:t>
      </w:r>
    </w:p>
    <w:p w14:paraId="29C74A25" w14:textId="77777777" w:rsidR="00F84D61" w:rsidRDefault="00F84D61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417BF">
        <w:rPr>
          <w:rFonts w:ascii="Times New Roman" w:hAnsi="Times New Roman" w:cs="Times New Roman"/>
          <w:sz w:val="34"/>
          <w:szCs w:val="34"/>
        </w:rPr>
        <w:t>Контрольно-счетная комиссия стремится к тому, чтобы материалы контрольных и экспертно-аналитических мероприятий являлись для должностных лиц органов местного самоуправления источником объективной информации</w:t>
      </w:r>
      <w:r w:rsidR="00A509BB" w:rsidRPr="008417BF">
        <w:rPr>
          <w:rFonts w:ascii="Times New Roman" w:hAnsi="Times New Roman" w:cs="Times New Roman"/>
          <w:sz w:val="34"/>
          <w:szCs w:val="34"/>
        </w:rPr>
        <w:t xml:space="preserve"> о состоянии бюджета района</w:t>
      </w:r>
      <w:r w:rsidRPr="008417BF">
        <w:rPr>
          <w:rFonts w:ascii="Times New Roman" w:hAnsi="Times New Roman" w:cs="Times New Roman"/>
          <w:sz w:val="34"/>
          <w:szCs w:val="34"/>
        </w:rPr>
        <w:t>, уровне бюджетной дисциплины, качестве бюджетного планирования и других аспектах, связанных с бюджетным процессом.</w:t>
      </w:r>
    </w:p>
    <w:p w14:paraId="5D7428EF" w14:textId="77777777" w:rsidR="00BD1982" w:rsidRDefault="00BD1982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</w:p>
    <w:p w14:paraId="30F0159D" w14:textId="77777777" w:rsidR="00340DD2" w:rsidRDefault="009272EC" w:rsidP="00E523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9272EC">
        <w:rPr>
          <w:rFonts w:ascii="Times New Roman" w:eastAsia="Calibri" w:hAnsi="Times New Roman" w:cs="Times New Roman"/>
          <w:b/>
          <w:sz w:val="32"/>
          <w:szCs w:val="32"/>
        </w:rPr>
        <w:t xml:space="preserve">Председатель </w:t>
      </w:r>
    </w:p>
    <w:p w14:paraId="143F4A90" w14:textId="77777777" w:rsidR="00340DD2" w:rsidRDefault="009272EC" w:rsidP="00E523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9272EC">
        <w:rPr>
          <w:rFonts w:ascii="Times New Roman" w:eastAsia="Calibri" w:hAnsi="Times New Roman" w:cs="Times New Roman"/>
          <w:b/>
          <w:sz w:val="32"/>
          <w:szCs w:val="32"/>
        </w:rPr>
        <w:t>Контрольно-счётной</w:t>
      </w:r>
      <w:r w:rsidR="00340DD2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9272EC">
        <w:rPr>
          <w:rFonts w:ascii="Times New Roman" w:eastAsia="Calibri" w:hAnsi="Times New Roman" w:cs="Times New Roman"/>
          <w:b/>
          <w:sz w:val="32"/>
          <w:szCs w:val="32"/>
        </w:rPr>
        <w:t>комиссии</w:t>
      </w:r>
    </w:p>
    <w:p w14:paraId="057BC00A" w14:textId="5B1C3626" w:rsidR="009272EC" w:rsidRPr="009272EC" w:rsidRDefault="009272EC" w:rsidP="00E523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9272EC">
        <w:rPr>
          <w:rFonts w:ascii="Times New Roman" w:eastAsia="Calibri" w:hAnsi="Times New Roman" w:cs="Times New Roman"/>
          <w:b/>
          <w:sz w:val="32"/>
          <w:szCs w:val="32"/>
        </w:rPr>
        <w:t>Добринского муниципального</w:t>
      </w:r>
    </w:p>
    <w:p w14:paraId="7782F98D" w14:textId="77777777" w:rsidR="009272EC" w:rsidRPr="009272EC" w:rsidRDefault="009272EC" w:rsidP="00E523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9272EC">
        <w:rPr>
          <w:rFonts w:ascii="Times New Roman" w:eastAsia="Calibri" w:hAnsi="Times New Roman" w:cs="Times New Roman"/>
          <w:b/>
          <w:sz w:val="32"/>
          <w:szCs w:val="32"/>
        </w:rPr>
        <w:t>района                                                                                          Н.В.Гаршина</w:t>
      </w:r>
    </w:p>
    <w:sectPr w:rsidR="009272EC" w:rsidRPr="009272EC" w:rsidSect="005A105A">
      <w:footerReference w:type="default" r:id="rId11"/>
      <w:pgSz w:w="11906" w:h="16838"/>
      <w:pgMar w:top="1418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80198" w14:textId="77777777" w:rsidR="00737351" w:rsidRDefault="00737351" w:rsidP="00761EC3">
      <w:pPr>
        <w:spacing w:after="0" w:line="240" w:lineRule="auto"/>
      </w:pPr>
      <w:r>
        <w:separator/>
      </w:r>
    </w:p>
  </w:endnote>
  <w:endnote w:type="continuationSeparator" w:id="0">
    <w:p w14:paraId="3623A0E1" w14:textId="77777777" w:rsidR="00737351" w:rsidRDefault="00737351" w:rsidP="00761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300939"/>
      <w:docPartObj>
        <w:docPartGallery w:val="Page Numbers (Bottom of Page)"/>
        <w:docPartUnique/>
      </w:docPartObj>
    </w:sdtPr>
    <w:sdtEndPr/>
    <w:sdtContent>
      <w:p w14:paraId="28D67165" w14:textId="2BEF718F" w:rsidR="00761EC3" w:rsidRDefault="00761EC3">
        <w:pPr>
          <w:pStyle w:val="a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DFFD6F4" wp14:editId="0C7AD04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Групп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E63DAF" w14:textId="77777777" w:rsidR="00761EC3" w:rsidRDefault="00761EC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DFFD6F4" id="Группа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3AE63DAF" w14:textId="77777777" w:rsidR="00761EC3" w:rsidRDefault="00761EC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11E45" w14:textId="77777777" w:rsidR="00737351" w:rsidRDefault="00737351" w:rsidP="00761EC3">
      <w:pPr>
        <w:spacing w:after="0" w:line="240" w:lineRule="auto"/>
      </w:pPr>
      <w:r>
        <w:separator/>
      </w:r>
    </w:p>
  </w:footnote>
  <w:footnote w:type="continuationSeparator" w:id="0">
    <w:p w14:paraId="46B6878A" w14:textId="77777777" w:rsidR="00737351" w:rsidRDefault="00737351" w:rsidP="00761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D2746"/>
    <w:multiLevelType w:val="hybridMultilevel"/>
    <w:tmpl w:val="B032ED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C40A30"/>
    <w:multiLevelType w:val="hybridMultilevel"/>
    <w:tmpl w:val="6BCCCF2C"/>
    <w:lvl w:ilvl="0" w:tplc="953454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5E4DD3"/>
    <w:multiLevelType w:val="hybridMultilevel"/>
    <w:tmpl w:val="BB264E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1691EAF"/>
    <w:multiLevelType w:val="hybridMultilevel"/>
    <w:tmpl w:val="814E1B58"/>
    <w:lvl w:ilvl="0" w:tplc="E2543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6470FC"/>
    <w:multiLevelType w:val="hybridMultilevel"/>
    <w:tmpl w:val="67B624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728700B"/>
    <w:multiLevelType w:val="hybridMultilevel"/>
    <w:tmpl w:val="CA7474FE"/>
    <w:lvl w:ilvl="0" w:tplc="A0BCDCA6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E2208A2"/>
    <w:multiLevelType w:val="hybridMultilevel"/>
    <w:tmpl w:val="D7C66A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F0805CA"/>
    <w:multiLevelType w:val="hybridMultilevel"/>
    <w:tmpl w:val="3342B2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F8A0DDC"/>
    <w:multiLevelType w:val="hybridMultilevel"/>
    <w:tmpl w:val="1F02D45A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6F3507E0"/>
    <w:multiLevelType w:val="hybridMultilevel"/>
    <w:tmpl w:val="1B980870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D686321"/>
    <w:multiLevelType w:val="hybridMultilevel"/>
    <w:tmpl w:val="4F0E2D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10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71"/>
    <w:rsid w:val="0001165B"/>
    <w:rsid w:val="000118AB"/>
    <w:rsid w:val="00077D5A"/>
    <w:rsid w:val="00086332"/>
    <w:rsid w:val="000D4B1D"/>
    <w:rsid w:val="000F32C8"/>
    <w:rsid w:val="000F601D"/>
    <w:rsid w:val="00101D5E"/>
    <w:rsid w:val="00103F3E"/>
    <w:rsid w:val="001103FD"/>
    <w:rsid w:val="00125789"/>
    <w:rsid w:val="00133CFE"/>
    <w:rsid w:val="00136DC5"/>
    <w:rsid w:val="00146F9E"/>
    <w:rsid w:val="00147262"/>
    <w:rsid w:val="00161645"/>
    <w:rsid w:val="001C1801"/>
    <w:rsid w:val="001C41C4"/>
    <w:rsid w:val="001D31EE"/>
    <w:rsid w:val="001D4C0B"/>
    <w:rsid w:val="001D65A3"/>
    <w:rsid w:val="001D6D61"/>
    <w:rsid w:val="0020334A"/>
    <w:rsid w:val="0020365B"/>
    <w:rsid w:val="002143B6"/>
    <w:rsid w:val="00231347"/>
    <w:rsid w:val="0023718F"/>
    <w:rsid w:val="00241259"/>
    <w:rsid w:val="00262D23"/>
    <w:rsid w:val="002738C0"/>
    <w:rsid w:val="002925F7"/>
    <w:rsid w:val="002A0C45"/>
    <w:rsid w:val="002A437D"/>
    <w:rsid w:val="002C4069"/>
    <w:rsid w:val="002C559A"/>
    <w:rsid w:val="00317749"/>
    <w:rsid w:val="00334769"/>
    <w:rsid w:val="00336E7F"/>
    <w:rsid w:val="00340DD2"/>
    <w:rsid w:val="003430C9"/>
    <w:rsid w:val="00344C8A"/>
    <w:rsid w:val="00360A3B"/>
    <w:rsid w:val="00361F47"/>
    <w:rsid w:val="003A165C"/>
    <w:rsid w:val="003D19FD"/>
    <w:rsid w:val="003E5A93"/>
    <w:rsid w:val="003F0D48"/>
    <w:rsid w:val="00403D64"/>
    <w:rsid w:val="004074A7"/>
    <w:rsid w:val="004078A2"/>
    <w:rsid w:val="00417168"/>
    <w:rsid w:val="0042081E"/>
    <w:rsid w:val="00434CEE"/>
    <w:rsid w:val="0044630A"/>
    <w:rsid w:val="004839F0"/>
    <w:rsid w:val="004B3CE9"/>
    <w:rsid w:val="004C0839"/>
    <w:rsid w:val="004C79CF"/>
    <w:rsid w:val="004D5299"/>
    <w:rsid w:val="00511AB4"/>
    <w:rsid w:val="0051684B"/>
    <w:rsid w:val="00525B04"/>
    <w:rsid w:val="005267A6"/>
    <w:rsid w:val="00531731"/>
    <w:rsid w:val="00546F00"/>
    <w:rsid w:val="00560CB7"/>
    <w:rsid w:val="0056740F"/>
    <w:rsid w:val="00583135"/>
    <w:rsid w:val="005A105A"/>
    <w:rsid w:val="005F139D"/>
    <w:rsid w:val="005F32E6"/>
    <w:rsid w:val="006056C6"/>
    <w:rsid w:val="00605D46"/>
    <w:rsid w:val="00622B63"/>
    <w:rsid w:val="006547C8"/>
    <w:rsid w:val="006653CB"/>
    <w:rsid w:val="006756ED"/>
    <w:rsid w:val="00690FA3"/>
    <w:rsid w:val="006A1FD6"/>
    <w:rsid w:val="006C27EB"/>
    <w:rsid w:val="00737351"/>
    <w:rsid w:val="0074054D"/>
    <w:rsid w:val="00740CC4"/>
    <w:rsid w:val="00757443"/>
    <w:rsid w:val="00761EC3"/>
    <w:rsid w:val="00764466"/>
    <w:rsid w:val="0076581A"/>
    <w:rsid w:val="007714E9"/>
    <w:rsid w:val="00782CDA"/>
    <w:rsid w:val="00784DB6"/>
    <w:rsid w:val="00786B3D"/>
    <w:rsid w:val="007B3A25"/>
    <w:rsid w:val="007B5073"/>
    <w:rsid w:val="007B797B"/>
    <w:rsid w:val="007E3532"/>
    <w:rsid w:val="007E5D78"/>
    <w:rsid w:val="007F45D0"/>
    <w:rsid w:val="008040D5"/>
    <w:rsid w:val="00823D64"/>
    <w:rsid w:val="008417BF"/>
    <w:rsid w:val="00851483"/>
    <w:rsid w:val="008B72BA"/>
    <w:rsid w:val="008D0DBF"/>
    <w:rsid w:val="008E7FD0"/>
    <w:rsid w:val="008F4E2B"/>
    <w:rsid w:val="008F5C38"/>
    <w:rsid w:val="0090069E"/>
    <w:rsid w:val="0090252C"/>
    <w:rsid w:val="009102BE"/>
    <w:rsid w:val="009272EC"/>
    <w:rsid w:val="00940519"/>
    <w:rsid w:val="00944F7B"/>
    <w:rsid w:val="009450CF"/>
    <w:rsid w:val="00945E86"/>
    <w:rsid w:val="0097099D"/>
    <w:rsid w:val="00981C74"/>
    <w:rsid w:val="00987B95"/>
    <w:rsid w:val="009E1D33"/>
    <w:rsid w:val="009E364C"/>
    <w:rsid w:val="009F2EBF"/>
    <w:rsid w:val="009F35F0"/>
    <w:rsid w:val="009F51E0"/>
    <w:rsid w:val="009F6BCC"/>
    <w:rsid w:val="009F7D65"/>
    <w:rsid w:val="00A35AEB"/>
    <w:rsid w:val="00A371B0"/>
    <w:rsid w:val="00A4216A"/>
    <w:rsid w:val="00A469CD"/>
    <w:rsid w:val="00A46AB8"/>
    <w:rsid w:val="00A509BB"/>
    <w:rsid w:val="00A5562E"/>
    <w:rsid w:val="00A626C1"/>
    <w:rsid w:val="00A71F7E"/>
    <w:rsid w:val="00A80A67"/>
    <w:rsid w:val="00AB0581"/>
    <w:rsid w:val="00AB0F2E"/>
    <w:rsid w:val="00AC5AD3"/>
    <w:rsid w:val="00AC750C"/>
    <w:rsid w:val="00B020BE"/>
    <w:rsid w:val="00B13778"/>
    <w:rsid w:val="00B2523F"/>
    <w:rsid w:val="00B55C19"/>
    <w:rsid w:val="00BA4307"/>
    <w:rsid w:val="00BC38BC"/>
    <w:rsid w:val="00BC38D7"/>
    <w:rsid w:val="00BC4279"/>
    <w:rsid w:val="00BD1982"/>
    <w:rsid w:val="00BE1FF8"/>
    <w:rsid w:val="00BE214D"/>
    <w:rsid w:val="00BF7197"/>
    <w:rsid w:val="00C02A82"/>
    <w:rsid w:val="00C06B7A"/>
    <w:rsid w:val="00C30EE2"/>
    <w:rsid w:val="00C544B2"/>
    <w:rsid w:val="00C5452F"/>
    <w:rsid w:val="00C57406"/>
    <w:rsid w:val="00C61517"/>
    <w:rsid w:val="00C86C30"/>
    <w:rsid w:val="00C901D9"/>
    <w:rsid w:val="00CB5D0A"/>
    <w:rsid w:val="00CB6887"/>
    <w:rsid w:val="00CC7C0D"/>
    <w:rsid w:val="00CD1B3D"/>
    <w:rsid w:val="00D012FD"/>
    <w:rsid w:val="00D3408B"/>
    <w:rsid w:val="00D342A6"/>
    <w:rsid w:val="00D40DBC"/>
    <w:rsid w:val="00D426D5"/>
    <w:rsid w:val="00D46561"/>
    <w:rsid w:val="00D51F3B"/>
    <w:rsid w:val="00D557F5"/>
    <w:rsid w:val="00D82C16"/>
    <w:rsid w:val="00DC44B3"/>
    <w:rsid w:val="00DC4949"/>
    <w:rsid w:val="00DC65FD"/>
    <w:rsid w:val="00DD6E4E"/>
    <w:rsid w:val="00DE0E2D"/>
    <w:rsid w:val="00DF09A9"/>
    <w:rsid w:val="00DF2AC8"/>
    <w:rsid w:val="00DF3FEA"/>
    <w:rsid w:val="00DF763B"/>
    <w:rsid w:val="00DF7760"/>
    <w:rsid w:val="00E03C22"/>
    <w:rsid w:val="00E34B1D"/>
    <w:rsid w:val="00E4666C"/>
    <w:rsid w:val="00E46989"/>
    <w:rsid w:val="00E5231C"/>
    <w:rsid w:val="00E528B4"/>
    <w:rsid w:val="00E56ECF"/>
    <w:rsid w:val="00E92722"/>
    <w:rsid w:val="00EA7671"/>
    <w:rsid w:val="00ED0394"/>
    <w:rsid w:val="00ED18E6"/>
    <w:rsid w:val="00EF7301"/>
    <w:rsid w:val="00F214D9"/>
    <w:rsid w:val="00F2411A"/>
    <w:rsid w:val="00F5166D"/>
    <w:rsid w:val="00F565AC"/>
    <w:rsid w:val="00F56AA2"/>
    <w:rsid w:val="00F60991"/>
    <w:rsid w:val="00F828B9"/>
    <w:rsid w:val="00F849E0"/>
    <w:rsid w:val="00F84D61"/>
    <w:rsid w:val="00F94969"/>
    <w:rsid w:val="00FA6C65"/>
    <w:rsid w:val="00FD5437"/>
    <w:rsid w:val="00FE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A32E9"/>
  <w15:chartTrackingRefBased/>
  <w15:docId w15:val="{64DDA39F-2503-438C-ABBE-CCBC91A6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0F2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D4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17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C5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61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1EC3"/>
  </w:style>
  <w:style w:type="paragraph" w:styleId="aa">
    <w:name w:val="footer"/>
    <w:basedOn w:val="a"/>
    <w:link w:val="ab"/>
    <w:uiPriority w:val="99"/>
    <w:unhideWhenUsed/>
    <w:rsid w:val="00761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1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3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2F3-44F1-938B-A053357D8F6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2F3-44F1-938B-A053357D8F6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2F3-44F1-938B-A053357D8F6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AEF36394-2C3A-4832-BDFD-386F7EAA6797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2F3-44F1-938B-A053357D8F6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9FC00BA8-9CD1-4CE8-A591-1FF1086CA25D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2F3-44F1-938B-A053357D8F68}"/>
                </c:ext>
              </c:extLst>
            </c:dLbl>
            <c:dLbl>
              <c:idx val="2"/>
              <c:layout>
                <c:manualLayout>
                  <c:x val="6.5208541375987271E-3"/>
                  <c:y val="8.8799323455444959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01D3DF18-0CC2-4E39-96FA-2B15421344E4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2F3-44F1-938B-A053357D8F68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Century" panose="020406040505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ОМС сельских поселений</c:v>
                </c:pt>
                <c:pt idx="1">
                  <c:v>ОМС муниципального района</c:v>
                </c:pt>
                <c:pt idx="2">
                  <c:v>муниципальные учреждения района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0.65</c:v>
                </c:pt>
                <c:pt idx="1">
                  <c:v>0.23</c:v>
                </c:pt>
                <c:pt idx="2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2F3-44F1-938B-A053357D8F6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Century" panose="020406040505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 доходы (тыс.руб.)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Лист1!$A$2:$A$18</c:f>
              <c:strCache>
                <c:ptCount val="17"/>
                <c:pt idx="0">
                  <c:v>Березнеговатский</c:v>
                </c:pt>
                <c:pt idx="1">
                  <c:v>Богородицкий</c:v>
                </c:pt>
                <c:pt idx="2">
                  <c:v>Верхнематренский</c:v>
                </c:pt>
                <c:pt idx="3">
                  <c:v>Демшинский</c:v>
                </c:pt>
                <c:pt idx="4">
                  <c:v>Сафоновский</c:v>
                </c:pt>
                <c:pt idx="5">
                  <c:v>Дубовской</c:v>
                </c:pt>
                <c:pt idx="6">
                  <c:v>Дуровский</c:v>
                </c:pt>
                <c:pt idx="7">
                  <c:v>Каверинский</c:v>
                </c:pt>
                <c:pt idx="8">
                  <c:v>Мазейский</c:v>
                </c:pt>
                <c:pt idx="9">
                  <c:v>Нижнематренский</c:v>
                </c:pt>
                <c:pt idx="10">
                  <c:v>Новочеркутинский</c:v>
                </c:pt>
                <c:pt idx="11">
                  <c:v>Петровский</c:v>
                </c:pt>
                <c:pt idx="12">
                  <c:v>Пушкинский</c:v>
                </c:pt>
                <c:pt idx="13">
                  <c:v>Среднематренский</c:v>
                </c:pt>
                <c:pt idx="14">
                  <c:v>Талицкий</c:v>
                </c:pt>
                <c:pt idx="15">
                  <c:v>Тихвинский</c:v>
                </c:pt>
                <c:pt idx="16">
                  <c:v>Хворостянский</c:v>
                </c:pt>
              </c:strCache>
            </c:strRef>
          </c:cat>
          <c:val>
            <c:numRef>
              <c:f>Лист1!$B$2:$B$18</c:f>
              <c:numCache>
                <c:formatCode>0.0</c:formatCode>
                <c:ptCount val="17"/>
                <c:pt idx="0">
                  <c:v>0</c:v>
                </c:pt>
                <c:pt idx="1">
                  <c:v>515.1</c:v>
                </c:pt>
                <c:pt idx="2">
                  <c:v>379.6</c:v>
                </c:pt>
                <c:pt idx="3">
                  <c:v>6</c:v>
                </c:pt>
                <c:pt idx="4">
                  <c:v>178.9</c:v>
                </c:pt>
                <c:pt idx="5">
                  <c:v>24</c:v>
                </c:pt>
                <c:pt idx="6">
                  <c:v>120</c:v>
                </c:pt>
                <c:pt idx="7">
                  <c:v>37.4</c:v>
                </c:pt>
                <c:pt idx="8">
                  <c:v>0</c:v>
                </c:pt>
                <c:pt idx="9">
                  <c:v>14</c:v>
                </c:pt>
                <c:pt idx="10">
                  <c:v>24.1</c:v>
                </c:pt>
                <c:pt idx="11">
                  <c:v>44.7</c:v>
                </c:pt>
                <c:pt idx="12">
                  <c:v>16.600000000000001</c:v>
                </c:pt>
                <c:pt idx="13">
                  <c:v>12.5</c:v>
                </c:pt>
                <c:pt idx="14">
                  <c:v>44.6</c:v>
                </c:pt>
                <c:pt idx="15">
                  <c:v>3.8</c:v>
                </c:pt>
                <c:pt idx="16">
                  <c:v>29.8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71-49E0-82BD-76F7774A938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5287264"/>
        <c:axId val="175287592"/>
      </c:barChart>
      <c:catAx>
        <c:axId val="175287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75287592"/>
        <c:crosses val="autoZero"/>
        <c:auto val="1"/>
        <c:lblAlgn val="ctr"/>
        <c:lblOffset val="100"/>
        <c:noMultiLvlLbl val="0"/>
      </c:catAx>
      <c:valAx>
        <c:axId val="175287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75287264"/>
        <c:crosses val="autoZero"/>
        <c:crossBetween val="between"/>
      </c:valAx>
      <c:spPr>
        <a:solidFill>
          <a:schemeClr val="accent5">
            <a:lumMod val="20000"/>
            <a:lumOff val="80000"/>
          </a:schemeClr>
        </a:solidFill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98543-462B-4FD6-ADFD-1C022D6CA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2696</TotalTime>
  <Pages>20</Pages>
  <Words>3160</Words>
  <Characters>18014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garshina</cp:lastModifiedBy>
  <cp:revision>92</cp:revision>
  <cp:lastPrinted>2021-02-16T08:20:00Z</cp:lastPrinted>
  <dcterms:created xsi:type="dcterms:W3CDTF">2017-12-22T12:53:00Z</dcterms:created>
  <dcterms:modified xsi:type="dcterms:W3CDTF">2021-02-26T10:45:00Z</dcterms:modified>
</cp:coreProperties>
</file>