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tbl>
      <w:tblPr>
        <w:tblW w:w="0" w:type="auto"/>
        <w:tblLayout w:type="fixed"/>
        <w:tblLook w:val="0000"/>
      </w:tblPr>
      <w:tblGrid>
        <w:gridCol w:w="4077"/>
        <w:gridCol w:w="1275"/>
        <w:gridCol w:w="4112"/>
      </w:tblGrid>
      <w:tr w:rsidR="00CA3BA4" w:rsidRPr="00CA3BA4" w:rsidTr="00812480">
        <w:tc>
          <w:tcPr>
            <w:tcW w:w="5352" w:type="dxa"/>
            <w:gridSpan w:val="2"/>
          </w:tcPr>
          <w:p w:rsidR="00CA3BA4" w:rsidRPr="00CA3BA4" w:rsidRDefault="00CA3BA4" w:rsidP="00CA3BA4">
            <w:pPr>
              <w:widowControl w:val="0"/>
              <w:autoSpaceDE w:val="0"/>
              <w:autoSpaceDN w:val="0"/>
              <w:adjustRightInd w:val="0"/>
              <w:ind w:firstLine="567"/>
              <w:jc w:val="right"/>
              <w:rPr>
                <w:b/>
                <w:color w:val="000000"/>
                <w:sz w:val="20"/>
                <w:szCs w:val="20"/>
              </w:rPr>
            </w:pPr>
            <w:r w:rsidRPr="00CA3BA4">
              <w:rPr>
                <w:b/>
                <w:color w:val="000000"/>
                <w:sz w:val="20"/>
                <w:szCs w:val="20"/>
              </w:rPr>
              <w:t>ДОГОВОР АРЕНДЫ №</w:t>
            </w:r>
          </w:p>
        </w:tc>
        <w:tc>
          <w:tcPr>
            <w:tcW w:w="4112" w:type="dxa"/>
          </w:tcPr>
          <w:p w:rsidR="00CA3BA4" w:rsidRPr="00156014" w:rsidRDefault="00156014" w:rsidP="00CA3BA4">
            <w:pPr>
              <w:keepNext/>
              <w:widowControl w:val="0"/>
              <w:autoSpaceDE w:val="0"/>
              <w:autoSpaceDN w:val="0"/>
              <w:adjustRightInd w:val="0"/>
              <w:ind w:hanging="108"/>
              <w:outlineLvl w:val="3"/>
              <w:rPr>
                <w:b/>
                <w:color w:val="000000"/>
                <w:sz w:val="20"/>
                <w:szCs w:val="20"/>
                <w:u w:val="single"/>
              </w:rPr>
            </w:pPr>
            <w:r>
              <w:rPr>
                <w:b/>
                <w:color w:val="000000"/>
                <w:sz w:val="20"/>
                <w:szCs w:val="20"/>
                <w:u w:val="single"/>
              </w:rPr>
              <w:t>____</w:t>
            </w:r>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lang w:val="en-US"/>
              </w:rPr>
            </w:pPr>
          </w:p>
        </w:tc>
      </w:tr>
      <w:tr w:rsidR="00CA3BA4" w:rsidRPr="00CA3BA4" w:rsidTr="00812480">
        <w:tc>
          <w:tcPr>
            <w:tcW w:w="4077" w:type="dxa"/>
          </w:tcPr>
          <w:p w:rsidR="00CA3BA4" w:rsidRPr="00CA3BA4" w:rsidRDefault="00CA3BA4" w:rsidP="00CA3BA4">
            <w:pPr>
              <w:widowControl w:val="0"/>
              <w:autoSpaceDE w:val="0"/>
              <w:autoSpaceDN w:val="0"/>
              <w:adjustRightInd w:val="0"/>
              <w:jc w:val="both"/>
              <w:rPr>
                <w:sz w:val="20"/>
                <w:szCs w:val="20"/>
                <w:lang w:val="en-US"/>
              </w:rPr>
            </w:pPr>
            <w:r w:rsidRPr="00CA3BA4">
              <w:rPr>
                <w:color w:val="000000"/>
                <w:sz w:val="20"/>
                <w:szCs w:val="20"/>
                <w:lang w:val="en-US"/>
              </w:rPr>
              <w:t>Добринка п</w:t>
            </w:r>
          </w:p>
        </w:tc>
        <w:tc>
          <w:tcPr>
            <w:tcW w:w="5387" w:type="dxa"/>
            <w:gridSpan w:val="2"/>
          </w:tcPr>
          <w:p w:rsidR="00CA3BA4" w:rsidRPr="00CA3BA4" w:rsidRDefault="00CA3BA4" w:rsidP="00CA3BA4">
            <w:pPr>
              <w:keepNext/>
              <w:widowControl w:val="0"/>
              <w:autoSpaceDE w:val="0"/>
              <w:autoSpaceDN w:val="0"/>
              <w:adjustRightInd w:val="0"/>
              <w:ind w:right="-108"/>
              <w:jc w:val="right"/>
              <w:outlineLvl w:val="3"/>
              <w:rPr>
                <w:sz w:val="20"/>
                <w:szCs w:val="20"/>
                <w:u w:val="single"/>
              </w:rPr>
            </w:pPr>
            <w:r w:rsidRPr="00CA3BA4">
              <w:rPr>
                <w:color w:val="000000"/>
                <w:sz w:val="20"/>
                <w:szCs w:val="20"/>
                <w:u w:val="single"/>
              </w:rPr>
              <w:t>_________________________</w:t>
            </w:r>
          </w:p>
        </w:tc>
      </w:tr>
      <w:tr w:rsidR="00CA3BA4" w:rsidRPr="00CA3BA4" w:rsidTr="00812480">
        <w:tc>
          <w:tcPr>
            <w:tcW w:w="4077" w:type="dxa"/>
          </w:tcPr>
          <w:p w:rsidR="00CA3BA4" w:rsidRPr="00CA3BA4" w:rsidRDefault="00CA3BA4" w:rsidP="00CA3BA4">
            <w:pPr>
              <w:widowControl w:val="0"/>
              <w:autoSpaceDE w:val="0"/>
              <w:autoSpaceDN w:val="0"/>
              <w:adjustRightInd w:val="0"/>
              <w:ind w:firstLine="567"/>
              <w:jc w:val="both"/>
              <w:rPr>
                <w:color w:val="000000"/>
                <w:sz w:val="20"/>
                <w:szCs w:val="20"/>
              </w:rPr>
            </w:pPr>
          </w:p>
        </w:tc>
        <w:tc>
          <w:tcPr>
            <w:tcW w:w="5387" w:type="dxa"/>
            <w:gridSpan w:val="2"/>
          </w:tcPr>
          <w:p w:rsidR="00CA3BA4" w:rsidRPr="00CA3BA4" w:rsidRDefault="00CA3BA4" w:rsidP="00CA3BA4">
            <w:pPr>
              <w:keepNext/>
              <w:widowControl w:val="0"/>
              <w:autoSpaceDE w:val="0"/>
              <w:autoSpaceDN w:val="0"/>
              <w:adjustRightInd w:val="0"/>
              <w:ind w:firstLine="567"/>
              <w:jc w:val="both"/>
              <w:outlineLvl w:val="3"/>
              <w:rPr>
                <w:color w:val="000000"/>
                <w:sz w:val="20"/>
                <w:szCs w:val="20"/>
              </w:rPr>
            </w:pPr>
            <w:r w:rsidRPr="00CA3BA4">
              <w:rPr>
                <w:color w:val="000000"/>
                <w:sz w:val="20"/>
                <w:szCs w:val="20"/>
              </w:rPr>
              <w:t>(дата)</w:t>
            </w:r>
          </w:p>
        </w:tc>
      </w:tr>
    </w:tbl>
    <w:p w:rsidR="00CA3BA4" w:rsidRPr="00CA3BA4" w:rsidRDefault="00CA3BA4" w:rsidP="00CA3BA4">
      <w:pPr>
        <w:widowControl w:val="0"/>
        <w:autoSpaceDE w:val="0"/>
        <w:autoSpaceDN w:val="0"/>
        <w:adjustRightInd w:val="0"/>
        <w:ind w:firstLine="567"/>
        <w:jc w:val="both"/>
        <w:rPr>
          <w:sz w:val="20"/>
          <w:szCs w:val="20"/>
        </w:rPr>
      </w:pPr>
    </w:p>
    <w:p w:rsidR="00CA3BA4" w:rsidRPr="00CA3BA4" w:rsidRDefault="00CA3BA4" w:rsidP="00CA3BA4">
      <w:pPr>
        <w:widowControl w:val="0"/>
        <w:autoSpaceDE w:val="0"/>
        <w:autoSpaceDN w:val="0"/>
        <w:adjustRightInd w:val="0"/>
        <w:ind w:firstLine="709"/>
        <w:jc w:val="both"/>
        <w:rPr>
          <w:sz w:val="20"/>
          <w:szCs w:val="20"/>
        </w:rPr>
      </w:pPr>
      <w:r w:rsidRPr="00CA3BA4">
        <w:rPr>
          <w:b/>
          <w:color w:val="000000"/>
          <w:sz w:val="20"/>
          <w:szCs w:val="20"/>
        </w:rPr>
        <w:t xml:space="preserve">Администрация Добринского муниципального района Липецкой области </w:t>
      </w:r>
      <w:r w:rsidRPr="00CA3BA4">
        <w:rPr>
          <w:sz w:val="20"/>
          <w:szCs w:val="20"/>
        </w:rPr>
        <w:t xml:space="preserve">в лице главы администрации_____________________________________, действующего на основании </w:t>
      </w:r>
      <w:r w:rsidRPr="00CA3BA4">
        <w:rPr>
          <w:color w:val="000000"/>
          <w:spacing w:val="-3"/>
          <w:sz w:val="20"/>
          <w:szCs w:val="20"/>
        </w:rPr>
        <w:t>Устава</w:t>
      </w:r>
      <w:r w:rsidRPr="00CA3BA4">
        <w:rPr>
          <w:sz w:val="20"/>
          <w:szCs w:val="20"/>
        </w:rPr>
        <w:t xml:space="preserve">, именуемая в дальнейшем «Арендодатель», с одной стороны, и ____________________, в лице_________________________________., действующего на основании Устава, именуемое в дальнейшем «Арендатор», с другой стороны, в дальнейшем именуемые «Стороны», заключили настоящий договор (далее - Договор) о нижеследующем: </w:t>
      </w:r>
    </w:p>
    <w:p w:rsidR="00CA3BA4" w:rsidRPr="00CA3BA4" w:rsidRDefault="00CA3BA4" w:rsidP="00CA3BA4">
      <w:pPr>
        <w:widowControl w:val="0"/>
        <w:tabs>
          <w:tab w:val="left" w:pos="720"/>
        </w:tabs>
        <w:autoSpaceDE w:val="0"/>
        <w:autoSpaceDN w:val="0"/>
        <w:adjustRightInd w:val="0"/>
        <w:spacing w:before="120"/>
        <w:ind w:firstLine="709"/>
        <w:jc w:val="center"/>
        <w:rPr>
          <w:b/>
          <w:bCs/>
          <w:sz w:val="20"/>
          <w:szCs w:val="20"/>
        </w:rPr>
      </w:pPr>
      <w:r w:rsidRPr="00CA3BA4">
        <w:rPr>
          <w:b/>
          <w:bCs/>
          <w:sz w:val="20"/>
          <w:szCs w:val="20"/>
        </w:rPr>
        <w:t>1. Предмет Договора</w:t>
      </w:r>
    </w:p>
    <w:p w:rsidR="00CA3BA4" w:rsidRPr="00CA3BA4" w:rsidRDefault="00CA3BA4" w:rsidP="00CA3BA4">
      <w:pPr>
        <w:widowControl w:val="0"/>
        <w:autoSpaceDE w:val="0"/>
        <w:autoSpaceDN w:val="0"/>
        <w:adjustRightInd w:val="0"/>
        <w:ind w:firstLine="709"/>
        <w:jc w:val="both"/>
        <w:rPr>
          <w:color w:val="000000"/>
          <w:sz w:val="20"/>
          <w:szCs w:val="20"/>
        </w:rPr>
      </w:pPr>
      <w:r w:rsidRPr="00CA3BA4">
        <w:rPr>
          <w:sz w:val="20"/>
          <w:szCs w:val="20"/>
        </w:rPr>
        <w:t>1.1. Арендодатель предоставляет, а Арендатор принимает в пользование на условиях аренды земельный участок (далее - Участок) с кадастровым номером : общей площадью  кв.м, категория земель – , разрешенное использование , расположенный по адресу: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1.2. Условия настоящего Договора применяются к отношениям, возникшим с </w:t>
      </w:r>
      <w:r w:rsidR="00662489">
        <w:rPr>
          <w:rFonts w:ascii="Times New Roman CYR" w:hAnsi="Times New Roman CYR" w:cs="Times New Roman CYR"/>
          <w:sz w:val="20"/>
          <w:szCs w:val="20"/>
        </w:rPr>
        <w:t>___________</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1.3. Арендодатель подтверждает, что на момент заключения Договора передаваемый Участок не обременен правами третьих лиц.</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1.4.  Передача земельного участка в аренду не влечет передачу права собственности на него.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1.6. Границы и размеры земельного участка обозначены на прилагаемом к настоящему Договору кадастровом паспорте. Кадастровый паспорт земельного участка является неотъемлемой частью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1.7. Арендатор несет ответственность перед Арендодателем по исполнению условий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1.8.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bCs/>
          <w:sz w:val="20"/>
          <w:szCs w:val="20"/>
        </w:rPr>
      </w:pPr>
      <w:r w:rsidRPr="00CA3BA4">
        <w:rPr>
          <w:b/>
          <w:sz w:val="20"/>
          <w:szCs w:val="20"/>
        </w:rPr>
        <w:t xml:space="preserve">2. </w:t>
      </w:r>
      <w:r w:rsidRPr="00CA3BA4">
        <w:rPr>
          <w:rFonts w:ascii="Times New Roman CYR" w:hAnsi="Times New Roman CYR" w:cs="Times New Roman CYR"/>
          <w:b/>
          <w:bCs/>
          <w:sz w:val="20"/>
          <w:szCs w:val="20"/>
        </w:rPr>
        <w:t>Срок Договора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2.1. Срок аренды Участка устанавливается </w:t>
      </w:r>
      <w:r w:rsidR="00662489">
        <w:rPr>
          <w:rFonts w:ascii="Times New Roman CYR" w:hAnsi="Times New Roman CYR" w:cs="Times New Roman CYR"/>
          <w:sz w:val="20"/>
          <w:szCs w:val="20"/>
        </w:rPr>
        <w:t>с ________по______________</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2.2. Договор считается заключенным с момента его государственной регистрации в Управлении Росреестра по Липецкой области.</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sz w:val="20"/>
          <w:szCs w:val="20"/>
        </w:rPr>
      </w:pPr>
      <w:r w:rsidRPr="00CA3BA4">
        <w:rPr>
          <w:rFonts w:ascii="Times New Roman CYR" w:hAnsi="Times New Roman CYR" w:cs="Times New Roman CYR"/>
          <w:b/>
          <w:sz w:val="20"/>
          <w:szCs w:val="20"/>
        </w:rPr>
        <w:t>3. Размер и условия внесения арендной платы</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3.1. На основании протокола о результатах торгов на право заключения договора аренды земельного участка </w:t>
      </w:r>
      <w:r w:rsidRPr="00CA3BA4">
        <w:rPr>
          <w:sz w:val="20"/>
          <w:szCs w:val="20"/>
        </w:rPr>
        <w:t>от №  размер ежегодной арендной платы за Участок составляет  ()</w:t>
      </w:r>
      <w:r w:rsidRPr="00CA3BA4">
        <w:rPr>
          <w:rFonts w:ascii="Times New Roman CYR" w:hAnsi="Times New Roman CYR" w:cs="Times New Roman CYR"/>
          <w:sz w:val="20"/>
          <w:szCs w:val="20"/>
        </w:rPr>
        <w:t>руб.</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color w:val="ED7D31"/>
          <w:sz w:val="20"/>
          <w:szCs w:val="20"/>
        </w:rPr>
      </w:pPr>
      <w:r w:rsidRPr="00CA3BA4">
        <w:rPr>
          <w:rFonts w:ascii="Times New Roman CYR" w:hAnsi="Times New Roman CYR" w:cs="Times New Roman CYR"/>
          <w:sz w:val="20"/>
          <w:szCs w:val="20"/>
        </w:rPr>
        <w:t>В случае предоставления земельного участка без проведения торгов, согласно действующему земельному законодательству, сумма арендной платы рассчитывается по формуле : А=КСЗ х П , где: А – годовая плата за аренду земельного участка (руб.), КСЗ – кадастровая стоимость земельного участка (руб.), П – ставка арендной платы, являющаяся величиной, выраженной в процентах (%), либо по рыночной стоимости предоставляемого земельного участка на усмотрение Арендодателя.</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3.2. Арендная плата вносится Арендатором равными долями до 25 числа последнего месяца квартала, а за IV квартал - до 15 ноября текущего года, путем перечисления на счет УФК по Липецкой обл. (администрация Добринского муниципального района Липецкой области) ИНН 4804002990, КПП 480401001, р/с 40101810200000010006, Банк плательщика: Отделение Липецк г. Липецк, БИК 044206001, код БК 70211105013100000120 ОКТМО .</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3.3. Исполнением обязательства по внесению арендной платы является поступление денежных средств в размере, определенном в расчете арендной платы, на счет УФК по Липецкой области в порядке, установленном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3.4. В случае предоставления земельного участка по результатам проведения торгов, задаток  внесенный Арендатором на счет организатора торгов, засчитывается в счет арендной платы за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3.5. Размер арендной платы и сроки платежа могут быть пересмотрены Арендодателем не чаще одного раза в год в одностороннем порядке без согласования с Арендатором в случаях изменения ставок арендной платы, утверждаемых органом местного самоуправления в соответствии с действующим законодательством,  изменения кадастровой стоимости Участка, применения или изменения коэффициента-дефлятора, перевода Участка из одной категории земель в другую или изменения вида разрешенного использования Участка в установленном порядке.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3.6. Условия договора аренды, касающиеся изменения размера арендной платы и сроков платежа, становятся обязательными для Арендатора с момента получения им письменного уведомления Арендодателя, при этом заключения соглашения о внесении изменений в настоящий Договор не требуется.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3.7. В случае отказа Арендатора от уплаты арендной платы за пользование Участком после уведомления его Арендодателем об изменении размера арендной платы и сроков платежа в порядке, </w:t>
      </w:r>
      <w:r w:rsidRPr="00CA3BA4">
        <w:rPr>
          <w:rFonts w:ascii="Times New Roman CYR" w:hAnsi="Times New Roman CYR" w:cs="Times New Roman CYR"/>
          <w:sz w:val="20"/>
          <w:szCs w:val="20"/>
        </w:rPr>
        <w:lastRenderedPageBreak/>
        <w:t>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 досрочного расторжения настоящего Договора в порядке, предусмотренном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3.8. Не использование Участка Арендатором не может служить основанием невнесения арендной платы.</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3.9. В случае досрочного расторжения договора аренды, арендная плата вносится арендатором за полный последний месяц аренды.</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4. Права и обязанности Сторон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b/>
          <w:sz w:val="20"/>
          <w:szCs w:val="20"/>
        </w:rPr>
        <w:t>4.1. Арендодатель имеет право</w:t>
      </w:r>
      <w:r w:rsidRPr="00CA3BA4">
        <w:rPr>
          <w:rFonts w:ascii="Times New Roman CYR" w:hAnsi="Times New Roman CYR" w:cs="Times New Roman CYR"/>
          <w:sz w:val="20"/>
          <w:szCs w:val="20"/>
        </w:rPr>
        <w:t>:</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4.1.1. Требовать досрочного расторжения Договора в судебном порядке в случае: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использовании Участка не в соответствии с целевым назначением и разрешенным использованием, а также при использовании способами, приводящими к его порче,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невнесения арендной платы в течении двух сроков уплаты подряд, либо внесения ее не в полном объеме,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самовольного строительства на арендуемом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самовольной передачи Арендатором свои прав и обязанностей по настоящему договору другому лицу, передаче прав аренды Участка в залог (ипотеку), а также сдаче Участка в субаренду без письменного согласия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использования Участка способами, запрещенными земельным и иным законодательством Российской Федерации,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обязанностей по рекультивации земель, обязательных мероприятий по улучшению земель и охране почв</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невыполнения обязанностей по приведению земель в состояние пригодное для использования по целевому назначению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неиспользования Участка, в указанных целях в течение одного года;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изъятия земельного участка для государственных и муниципальных нужд;</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использования Участка с грубым нарушением правил рационального использования земли, в случае если использование Участка приводит к снижению плодородия сельскохозяйственных земель или ухудшению экологической обстановки.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деятельности Арендатором с нарушением действующего законодательства Российской Федерации.</w:t>
      </w:r>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обязанности по обеспечению доступа Арендодателю (его законным представителям), представителям органов государственного земельного контроля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нарушения прав соседних землепользователей, осуществления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неисполнение обязанности по уведомлению Арендодателю об изменении своих реквизитов в течение 10 календарных дней;</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на Участке работ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неисполнения обязанности по информированию соответствующих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неисполнения обязанности по проведению, согласно, запроса Арендодателя,  почвенного, агрохимического, фитосанитарного и эколого-токсикологического обследования земель сельскохозяйственного назначения с обязательным доведением результатов обследования до Арендодателя, в течение 2 мес. со дня получения запроса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использование нерайонированных семян при посеве сельскохозяйственных культур на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несоблюдения требования сортообновления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неисполнение обязанности ежегодного согласования севооборота с Арендодателем в срок, установленный п. 4.4.16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научно-обоснованного севооборота.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 xml:space="preserve">- невыполнение обязанности </w:t>
      </w:r>
      <w:r w:rsidRPr="00CA3BA4">
        <w:rPr>
          <w:rFonts w:ascii="Times New Roman CYR" w:hAnsi="Times New Roman CYR" w:cs="Times New Roman CYR"/>
          <w:sz w:val="20"/>
          <w:szCs w:val="20"/>
          <w:lang w:eastAsia="en-US"/>
        </w:rPr>
        <w:t>по проведению мероприятий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невыполнение обязанности по ежегодному предоставлению Арендодателю отчетов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 в срок до 25 декабря.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xml:space="preserve">- невыполнение обязанности по принятию мер по защите сельскохозяйственных угодий от </w:t>
      </w:r>
      <w:r w:rsidRPr="00CA3BA4">
        <w:rPr>
          <w:rFonts w:ascii="Times New Roman CYR" w:hAnsi="Times New Roman CYR" w:cs="Times New Roman CYR"/>
          <w:sz w:val="20"/>
          <w:szCs w:val="20"/>
          <w:lang w:eastAsia="en-US"/>
        </w:rPr>
        <w:lastRenderedPageBreak/>
        <w:t>зарастания 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невыполнение обязанности по представлению в установленном порядке в соответствующие органы исполнительной власти сведений об использовании агрохимикатов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неисполнение обязанности по выполнению комплекса работ по снегозадержанию.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а также в случае нарушения других условий Договора и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4.1.2. Досрочно в одностороннем порядке расторгнуть Договор в случае неисполнения Арендатором обязанности, предусмотренной п. 4.4.6.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4.1.3. На беспрепятственный доступ на территорию арендуемого Участка с целью его осмотра на предмет соблюдения условий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4.1.5. Требовать внесения арендной платы за все время просрочки, если Арендатор не возвратил арендованный Участок в срок, установленный настоящим Договором, либо возвратил его несвоевременно.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4.2. Арендодатель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4.2.2. Письменно в десятидневный срок уведомить Арендатора об изменении реквизитов для перечисления арендной платы, указанных в п. 3.2.</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4.2.3. Своевременно производить перерасчет арендной платы и своевременно информировать об этом Арендатора.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4.2.4. При изменении размера арендной платы и сроков платежа Арендодатель обязан известить Арендатора в десятидневный срок с момента принятия соответствующего решения.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4.2.5. В случае регистрации права собственности субъекта Российской Федерации на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4.3. Арендатор имеет право: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4.3.1. Использовать Участок на условиях, установленных Договором.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4.3.2.Переуступать свои права и обязанности по настоящему договору другому лицу, передавать право аренды Участка в залог (ипотеку), а также сдавать Участок в субаренду только по письменному согласию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4.4. Арендатор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4.4.2. Осуществлять свою деятельность в соответствии с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4.4.3. Использовать Участок в соответствии с целевым назначением и разрешенным использованием.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4.4.4. Своевременно, в размере и на условиях, установленных Договором, вносить арендную плату.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4.4.7. Не нарушать прав соседних землепользователей, не допускать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4.4.8. Письменно в течение десяти календарных дней уведомить Арендодателя об изменении своих реквизитов. В случае неисполнения Арендатором данной обязанности, извещение об изменении размера арендной платы и сроков платежа, указанное в п. 3.6.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4.4.9.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4.4.10.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согласно федеральному закону от 16.07.1998 г. № 101-ФЗ «О государственном регулировании обеспечения плодородия земель сельскохозяйственного назначения».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4.4.11. Соблюдать нормы и правила в области обеспечения плодородия земель сельскохозяйственного назначения в соответствии с федеральным законом от 05.04.2016 г. № 104-ФЗ «О внесении изменений в отдельные законодательные акты Российской федерации по вопросам стандартизации».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4.4.12. Информировать соответствующие органы исполнительной власти о фактах деградации </w:t>
      </w:r>
      <w:r w:rsidRPr="00CA3BA4">
        <w:rPr>
          <w:rFonts w:ascii="Times New Roman CYR" w:hAnsi="Times New Roman CYR" w:cs="Times New Roman CYR"/>
          <w:sz w:val="20"/>
          <w:szCs w:val="20"/>
        </w:rPr>
        <w:lastRenderedPageBreak/>
        <w:t>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4.4.13. По запросу Арендодателя производить почвенное, агрохимическое, фитосанитарное и эколого-токсикологическое обследование земель сельскохозяйственного назначения с обязательным доведением результатов обследования до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4.4.14. Ежегодно осуществлять посев сельскохозяйственных культур районированными семенами на арендованном земельном участке</w:t>
      </w:r>
      <w:r w:rsidRPr="00CA3BA4">
        <w:rPr>
          <w:rFonts w:ascii="Times New Roman CYR" w:hAnsi="Times New Roman CYR" w:cs="Times New Roman CYR"/>
          <w:color w:val="ED7D31"/>
          <w:sz w:val="20"/>
          <w:szCs w:val="20"/>
        </w:rPr>
        <w:t>.</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4.4.15. Соблюдать требования сортообновления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4.4.16. На весь срок аренды Участка в срок до 1 февраля ежегодно согласовывать севооборот с Арендодателем.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4.4.17. Соблюдать требования научно-обоснованного севооборота.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4.4.18. Соблюдать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4.4.19.</w:t>
      </w:r>
      <w:r w:rsidRPr="00CA3BA4">
        <w:rPr>
          <w:rFonts w:ascii="Times New Roman CYR" w:hAnsi="Times New Roman CYR" w:cs="Times New Roman CYR"/>
          <w:sz w:val="20"/>
          <w:szCs w:val="20"/>
          <w:lang w:eastAsia="en-US"/>
        </w:rPr>
        <w:t>Проводить мероприятия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4.4.20. Ежегодно до 01 марта предоставлять арендодателю план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4.4.21. Ежегодно до 25 декабря предоставлять арендодателю отчеты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4.4.22. Принимать меры по защите сельскохозяйственных угодий от зарастания 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4.4.23.Представлять в установленном порядке в соответствующие органы исполнительной власти сведения об использовании агрохимикатов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4.4.24.</w:t>
      </w:r>
      <w:r w:rsidRPr="00CA3BA4">
        <w:rPr>
          <w:rFonts w:ascii="Times New Roman CYR" w:hAnsi="Times New Roman CYR" w:cs="Times New Roman CYR"/>
          <w:sz w:val="20"/>
          <w:szCs w:val="20"/>
          <w:lang w:eastAsia="en-US"/>
        </w:rPr>
        <w:t>Выполнять комплекс работ по снегозадержанию на Участке.</w:t>
      </w:r>
    </w:p>
    <w:p w:rsidR="00CA3BA4" w:rsidRPr="00CA3BA4" w:rsidRDefault="00CA3BA4" w:rsidP="00CA3BA4">
      <w:pPr>
        <w:widowControl w:val="0"/>
        <w:autoSpaceDE w:val="0"/>
        <w:autoSpaceDN w:val="0"/>
        <w:adjustRightInd w:val="0"/>
        <w:ind w:firstLine="709"/>
        <w:jc w:val="both"/>
        <w:rPr>
          <w:bCs/>
          <w:sz w:val="10"/>
          <w:szCs w:val="1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5. Ответственность Сторон</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5.1. За нарушение условий Договора Стороны несут ответственность, предусмотренную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начисляется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1% в день от суммы годовой арендной платы за используемый Участок. Неустойка (пеня) перечисляется на счет указанный в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5.3. Уплата неустойки (пени) не освобождает Арендатора от надлежащего выполнения условий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5.4. В случае самовольной передачи Арендатором своих прав и обязанностей по настоящему договору другому лицу, либо передачи Участка в субаренду, в залог (ипотеку)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по арендной плате на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5.5. При невозвращении Участка в срок, предусмотренный в п. 6.3 настоящего Договора, Арендатор уплачивает неустойку в размере ежеквартальной арендной платы за каждый день просрочки возврата Участка.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 Изменение, расторжение и прекращение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6.1. Все изменения и (или) дополнения к Договору оформляются Сторонами в письменной форме.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6.2. В соответствии со ст. 450 ГК РФ Договор может быть расторгнут по соглашению сторон, а также по требованию одной из сторон в судебном порядке в случаях, установленных гражданским законодательством, в том числе в случае существенного изменения обстоятельств, в соответствии со ст. 451 ГК РФ.</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6.3. При прекращении (расторжении) настоящего Договора Арендатор обязан вернуть Арендодателю Участок в надлежащем состоянии по акту приема-передачи в течение 3 (трех) дней после прекращения договорных обязательств.</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7. Рассмотрение и урегулирование споров.</w:t>
      </w:r>
    </w:p>
    <w:p w:rsidR="00CA3BA4" w:rsidRPr="00CA3BA4" w:rsidRDefault="00CA3BA4" w:rsidP="00CA3BA4">
      <w:pPr>
        <w:widowControl w:val="0"/>
        <w:autoSpaceDE w:val="0"/>
        <w:autoSpaceDN w:val="0"/>
        <w:adjustRightInd w:val="0"/>
        <w:ind w:firstLine="708"/>
        <w:rPr>
          <w:rFonts w:ascii="Times New Roman CYR" w:hAnsi="Times New Roman CYR" w:cs="Times New Roman CYR"/>
          <w:sz w:val="20"/>
          <w:szCs w:val="20"/>
        </w:rPr>
      </w:pPr>
      <w:r w:rsidRPr="00CA3BA4">
        <w:rPr>
          <w:rFonts w:ascii="Times New Roman CYR" w:hAnsi="Times New Roman CYR" w:cs="Times New Roman CYR"/>
          <w:sz w:val="20"/>
          <w:szCs w:val="20"/>
        </w:rPr>
        <w:t>7.1. Все споры между Сторонами, возникающие по Договору, разрешаются путем переговоров.</w:t>
      </w:r>
    </w:p>
    <w:p w:rsidR="00CA3BA4" w:rsidRPr="00CA3BA4" w:rsidRDefault="00CA3BA4" w:rsidP="00CA3BA4">
      <w:pPr>
        <w:widowControl w:val="0"/>
        <w:autoSpaceDE w:val="0"/>
        <w:autoSpaceDN w:val="0"/>
        <w:adjustRightInd w:val="0"/>
        <w:ind w:firstLine="709"/>
        <w:rPr>
          <w:rFonts w:ascii="Times New Roman CYR" w:hAnsi="Times New Roman CYR" w:cs="Times New Roman CYR"/>
          <w:sz w:val="20"/>
          <w:szCs w:val="20"/>
        </w:rPr>
      </w:pPr>
      <w:r w:rsidRPr="00CA3BA4">
        <w:rPr>
          <w:rFonts w:ascii="Times New Roman CYR" w:hAnsi="Times New Roman CYR" w:cs="Times New Roman CYR"/>
          <w:sz w:val="20"/>
          <w:szCs w:val="20"/>
        </w:rPr>
        <w:t xml:space="preserve">7.2. В случае невозможности урегулирования спора путем переговоров он передается на </w:t>
      </w:r>
      <w:r w:rsidRPr="00CA3BA4">
        <w:rPr>
          <w:rFonts w:ascii="Times New Roman CYR" w:hAnsi="Times New Roman CYR" w:cs="Times New Roman CYR"/>
          <w:sz w:val="20"/>
          <w:szCs w:val="20"/>
        </w:rPr>
        <w:lastRenderedPageBreak/>
        <w:t xml:space="preserve">рассмотрение в арбитражный суд Липецкой области. </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8. Особые условия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8.1. Договор составлен в 3 (трех) экземплярах, имеющих одинаковую юридическую силу, по одному экземпляру для каждой из Сторон, один для регистрирующего органа.</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9. Адреса и реквизиты Сторон:</w:t>
      </w:r>
    </w:p>
    <w:p w:rsidR="00CA3BA4" w:rsidRPr="00CA3BA4" w:rsidRDefault="00CA3BA4" w:rsidP="00CA3BA4">
      <w:pPr>
        <w:widowControl w:val="0"/>
        <w:autoSpaceDE w:val="0"/>
        <w:autoSpaceDN w:val="0"/>
        <w:adjustRightInd w:val="0"/>
        <w:spacing w:before="120"/>
        <w:jc w:val="both"/>
        <w:rPr>
          <w:bCs/>
          <w:sz w:val="20"/>
          <w:szCs w:val="20"/>
        </w:rPr>
      </w:pPr>
      <w:r w:rsidRPr="00CA3BA4">
        <w:rPr>
          <w:bCs/>
          <w:sz w:val="20"/>
          <w:szCs w:val="20"/>
        </w:rPr>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b/>
          <w:color w:val="000000"/>
          <w:sz w:val="20"/>
          <w:szCs w:val="20"/>
        </w:rPr>
        <w:t>Администрация Добринского муниципального района Липецкой области</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399431,Россия,Липецкая обл,Добринский р-н,Добринкап,М.Горького ул,д.5,</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р/сч 40204810800000000012, л/с 02463003520, Банк плательщика: Отделение Липецк г. Липецк,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БИК 044206001, ИНН </w:t>
      </w:r>
      <w:r w:rsidRPr="00CA3BA4">
        <w:rPr>
          <w:sz w:val="20"/>
          <w:szCs w:val="20"/>
        </w:rPr>
        <w:t>4804002990</w:t>
      </w:r>
      <w:r w:rsidRPr="00CA3BA4">
        <w:rPr>
          <w:color w:val="000000"/>
          <w:sz w:val="20"/>
          <w:szCs w:val="20"/>
        </w:rPr>
        <w:t xml:space="preserve">, КПП 480401001, ОКПО 04184959 ОКТМО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Тел. (47462) 2-14-96, 2-17-58, факс (47462) 2-17-58</w:t>
      </w:r>
    </w:p>
    <w:p w:rsidR="00CA3BA4" w:rsidRPr="00CA3BA4" w:rsidRDefault="00CA3BA4" w:rsidP="00CA3BA4">
      <w:pPr>
        <w:widowControl w:val="0"/>
        <w:autoSpaceDE w:val="0"/>
        <w:autoSpaceDN w:val="0"/>
        <w:adjustRightInd w:val="0"/>
        <w:jc w:val="both"/>
        <w:rPr>
          <w:sz w:val="20"/>
          <w:szCs w:val="20"/>
        </w:rPr>
      </w:pPr>
    </w:p>
    <w:p w:rsidR="00CA3BA4" w:rsidRPr="00CA3BA4" w:rsidRDefault="00CA3BA4" w:rsidP="00CA3BA4">
      <w:pPr>
        <w:widowControl w:val="0"/>
        <w:autoSpaceDE w:val="0"/>
        <w:autoSpaceDN w:val="0"/>
        <w:adjustRightInd w:val="0"/>
        <w:jc w:val="both"/>
        <w:rPr>
          <w:sz w:val="20"/>
          <w:szCs w:val="20"/>
        </w:rPr>
      </w:pPr>
      <w:r w:rsidRPr="00CA3BA4">
        <w:rPr>
          <w:sz w:val="20"/>
          <w:szCs w:val="20"/>
        </w:rPr>
        <w:t>Арендатор:</w:t>
      </w: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10. Подписи Сторон:</w:t>
      </w:r>
    </w:p>
    <w:p w:rsidR="00CA3BA4" w:rsidRPr="00CA3BA4" w:rsidRDefault="00CA3BA4" w:rsidP="00CA3BA4">
      <w:pPr>
        <w:widowControl w:val="0"/>
        <w:autoSpaceDE w:val="0"/>
        <w:autoSpaceDN w:val="0"/>
        <w:adjustRightInd w:val="0"/>
        <w:spacing w:before="120"/>
        <w:jc w:val="both"/>
        <w:rPr>
          <w:b/>
          <w:bCs/>
          <w:sz w:val="20"/>
          <w:szCs w:val="20"/>
        </w:rPr>
      </w:pPr>
      <w:r w:rsidRPr="00CA3BA4">
        <w:rPr>
          <w:b/>
          <w:bCs/>
          <w:sz w:val="20"/>
          <w:szCs w:val="20"/>
        </w:rPr>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Администрация Добринского муниципального района Липецкой области</w:t>
      </w:r>
    </w:p>
    <w:p w:rsidR="00CA3BA4" w:rsidRPr="00CA3BA4" w:rsidRDefault="00CA3BA4" w:rsidP="00CA3BA4">
      <w:pPr>
        <w:widowControl w:val="0"/>
        <w:autoSpaceDE w:val="0"/>
        <w:autoSpaceDN w:val="0"/>
        <w:adjustRightInd w:val="0"/>
        <w:ind w:right="23"/>
        <w:jc w:val="both"/>
        <w:rPr>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2"/>
        <w:gridCol w:w="3340"/>
        <w:gridCol w:w="2839"/>
      </w:tblGrid>
      <w:tr w:rsidR="00CA3BA4" w:rsidRPr="00CA3BA4" w:rsidTr="00812480">
        <w:tc>
          <w:tcPr>
            <w:tcW w:w="4077" w:type="dxa"/>
          </w:tcPr>
          <w:p w:rsidR="00CA3BA4" w:rsidRPr="00CA3BA4" w:rsidRDefault="00CA3BA4" w:rsidP="00CA3BA4">
            <w:pPr>
              <w:widowControl w:val="0"/>
              <w:autoSpaceDE w:val="0"/>
              <w:autoSpaceDN w:val="0"/>
              <w:adjustRightInd w:val="0"/>
              <w:rPr>
                <w:sz w:val="20"/>
                <w:szCs w:val="20"/>
                <w:lang w:val="en-US"/>
              </w:rPr>
            </w:pPr>
            <w:r w:rsidRPr="00CA3BA4">
              <w:rPr>
                <w:sz w:val="20"/>
                <w:szCs w:val="20"/>
                <w:lang w:val="en-US"/>
              </w:rPr>
              <w:t>Главаадминистрации</w:t>
            </w:r>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ind w:left="318"/>
              <w:rPr>
                <w:sz w:val="20"/>
                <w:szCs w:val="20"/>
              </w:rPr>
            </w:pPr>
            <w:r w:rsidRPr="00CA3BA4">
              <w:rPr>
                <w:sz w:val="20"/>
                <w:szCs w:val="20"/>
              </w:rPr>
              <w:t>____________________</w:t>
            </w:r>
          </w:p>
        </w:tc>
      </w:tr>
    </w:tbl>
    <w:p w:rsidR="00CA3BA4" w:rsidRPr="00CA3BA4" w:rsidRDefault="00CA3BA4" w:rsidP="00CA3BA4">
      <w:pPr>
        <w:widowControl w:val="0"/>
        <w:autoSpaceDE w:val="0"/>
        <w:autoSpaceDN w:val="0"/>
        <w:adjustRightInd w:val="0"/>
        <w:ind w:firstLine="567"/>
        <w:jc w:val="both"/>
        <w:rPr>
          <w:b/>
          <w:sz w:val="20"/>
          <w:szCs w:val="20"/>
          <w:lang w:val="en-US"/>
        </w:rPr>
      </w:pPr>
    </w:p>
    <w:p w:rsidR="00CA3BA4" w:rsidRPr="00CA3BA4" w:rsidRDefault="00CA3BA4" w:rsidP="00CA3BA4">
      <w:pPr>
        <w:widowControl w:val="0"/>
        <w:autoSpaceDE w:val="0"/>
        <w:autoSpaceDN w:val="0"/>
        <w:adjustRightInd w:val="0"/>
        <w:jc w:val="both"/>
        <w:rPr>
          <w:b/>
          <w:bCs/>
          <w:sz w:val="20"/>
          <w:szCs w:val="20"/>
          <w:lang w:val="en-US"/>
        </w:rPr>
      </w:pPr>
      <w:r w:rsidRPr="00CA3BA4">
        <w:rPr>
          <w:b/>
          <w:bCs/>
          <w:sz w:val="20"/>
          <w:szCs w:val="20"/>
        </w:rPr>
        <w:t>Арендодатор</w:t>
      </w:r>
      <w:r w:rsidRPr="00CA3BA4">
        <w:rPr>
          <w:b/>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1"/>
        <w:gridCol w:w="3368"/>
        <w:gridCol w:w="2832"/>
      </w:tblGrid>
      <w:tr w:rsidR="00CA3BA4" w:rsidRPr="00CA3BA4" w:rsidTr="00812480">
        <w:tc>
          <w:tcPr>
            <w:tcW w:w="4077" w:type="dxa"/>
          </w:tcPr>
          <w:p w:rsidR="00CA3BA4" w:rsidRPr="00CA3BA4" w:rsidRDefault="00CA3BA4" w:rsidP="00CA3BA4">
            <w:pPr>
              <w:widowControl w:val="0"/>
              <w:autoSpaceDE w:val="0"/>
              <w:autoSpaceDN w:val="0"/>
              <w:adjustRightInd w:val="0"/>
              <w:rPr>
                <w:bCs/>
                <w:color w:val="000000"/>
                <w:sz w:val="20"/>
                <w:szCs w:val="20"/>
              </w:rPr>
            </w:pPr>
          </w:p>
          <w:p w:rsidR="00CA3BA4" w:rsidRPr="00CA3BA4" w:rsidRDefault="00CA3BA4" w:rsidP="00CA3BA4">
            <w:pPr>
              <w:widowControl w:val="0"/>
              <w:autoSpaceDE w:val="0"/>
              <w:autoSpaceDN w:val="0"/>
              <w:adjustRightInd w:val="0"/>
              <w:rPr>
                <w:sz w:val="20"/>
                <w:szCs w:val="20"/>
                <w:lang w:val="en-US"/>
              </w:rPr>
            </w:pPr>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rPr>
                <w:sz w:val="20"/>
                <w:szCs w:val="20"/>
              </w:rPr>
            </w:pPr>
            <w:r w:rsidRPr="00CA3BA4">
              <w:rPr>
                <w:sz w:val="20"/>
                <w:szCs w:val="20"/>
              </w:rPr>
              <w:t>___________________</w:t>
            </w:r>
          </w:p>
          <w:p w:rsidR="00CA3BA4" w:rsidRPr="00CA3BA4" w:rsidRDefault="00CA3BA4" w:rsidP="00CA3BA4">
            <w:pPr>
              <w:widowControl w:val="0"/>
              <w:autoSpaceDE w:val="0"/>
              <w:autoSpaceDN w:val="0"/>
              <w:adjustRightInd w:val="0"/>
              <w:rPr>
                <w:sz w:val="20"/>
                <w:szCs w:val="20"/>
              </w:rPr>
            </w:pPr>
          </w:p>
        </w:tc>
      </w:tr>
      <w:bookmarkEnd w:id="0"/>
      <w:bookmarkEnd w:id="1"/>
      <w:bookmarkEnd w:id="2"/>
    </w:tbl>
    <w:p w:rsidR="00CA3BA4" w:rsidRPr="00CA3BA4" w:rsidRDefault="00CA3BA4" w:rsidP="00CA3BA4">
      <w:pPr>
        <w:widowControl w:val="0"/>
        <w:autoSpaceDE w:val="0"/>
        <w:autoSpaceDN w:val="0"/>
        <w:adjustRightInd w:val="0"/>
        <w:ind w:firstLine="709"/>
        <w:jc w:val="center"/>
        <w:rPr>
          <w:b/>
          <w:bCs/>
          <w:sz w:val="20"/>
          <w:szCs w:val="20"/>
          <w:lang w:val="en-US"/>
        </w:rPr>
      </w:pPr>
    </w:p>
    <w:p w:rsidR="00CA3BA4" w:rsidRPr="00CA3BA4" w:rsidRDefault="00CA3BA4" w:rsidP="00CA3BA4">
      <w:pPr>
        <w:widowControl w:val="0"/>
        <w:autoSpaceDE w:val="0"/>
        <w:autoSpaceDN w:val="0"/>
        <w:adjustRightInd w:val="0"/>
        <w:ind w:firstLine="567"/>
        <w:jc w:val="both"/>
        <w:rPr>
          <w:sz w:val="20"/>
          <w:szCs w:val="20"/>
          <w:lang w:val="en-US"/>
        </w:rPr>
      </w:pPr>
      <w:bookmarkStart w:id="3" w:name="OLE_LINK22"/>
      <w:bookmarkStart w:id="4" w:name="OLE_LINK23"/>
      <w:bookmarkStart w:id="5" w:name="OLE_LINK24"/>
      <w:bookmarkEnd w:id="3"/>
      <w:bookmarkEnd w:id="4"/>
      <w:bookmarkEnd w:id="5"/>
    </w:p>
    <w:p w:rsidR="00CA3BA4" w:rsidRPr="00CA3BA4" w:rsidRDefault="00CA3BA4" w:rsidP="00CA3BA4">
      <w:pPr>
        <w:widowControl w:val="0"/>
        <w:autoSpaceDE w:val="0"/>
        <w:autoSpaceDN w:val="0"/>
        <w:adjustRightInd w:val="0"/>
        <w:ind w:firstLine="567"/>
        <w:jc w:val="both"/>
        <w:rPr>
          <w:sz w:val="20"/>
          <w:szCs w:val="20"/>
          <w:lang w:val="en-US"/>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E6845" w:rsidRPr="003E6845" w:rsidTr="00812480">
        <w:tc>
          <w:tcPr>
            <w:tcW w:w="10897" w:type="dxa"/>
          </w:tcPr>
          <w:p w:rsidR="003E6845" w:rsidRPr="003E6845" w:rsidRDefault="003E6845" w:rsidP="003E6845">
            <w:pPr>
              <w:widowControl w:val="0"/>
              <w:shd w:val="clear" w:color="auto" w:fill="FFFFFF"/>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Приложение</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к договору аренды № _____</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 xml:space="preserve">от </w:t>
            </w:r>
            <w:r w:rsidRPr="003E6845">
              <w:rPr>
                <w:rFonts w:ascii="Times New Roman CYR" w:eastAsiaTheme="minorEastAsia" w:hAnsi="Times New Roman CYR" w:cs="Times New Roman CYR"/>
                <w:color w:val="000000"/>
              </w:rPr>
              <w:t>_________________</w:t>
            </w:r>
          </w:p>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color w:val="000000"/>
                <w:sz w:val="16"/>
                <w:szCs w:val="16"/>
              </w:rPr>
            </w:pPr>
          </w:p>
        </w:tc>
      </w:tr>
    </w:tbl>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b/>
          <w:bCs/>
          <w:color w:val="000000"/>
          <w:sz w:val="22"/>
          <w:szCs w:val="22"/>
          <w:u w:val="single"/>
        </w:rPr>
      </w:pPr>
      <w:r w:rsidRPr="003E6845">
        <w:rPr>
          <w:rFonts w:ascii="Times New Roman CYR" w:eastAsiaTheme="minorEastAsia" w:hAnsi="Times New Roman CYR" w:cs="Times New Roman CYR"/>
          <w:b/>
          <w:bCs/>
          <w:sz w:val="28"/>
          <w:szCs w:val="28"/>
        </w:rPr>
        <w:t xml:space="preserve">Расчет арендной платы за землю на </w:t>
      </w:r>
      <w:r w:rsidRPr="003E6845">
        <w:rPr>
          <w:rFonts w:eastAsiaTheme="minorEastAsia" w:cs="Arial CYR"/>
          <w:b/>
          <w:bCs/>
          <w:color w:val="000000"/>
        </w:rPr>
        <w:t xml:space="preserve">_____ </w:t>
      </w:r>
      <w:r w:rsidRPr="003E6845">
        <w:rPr>
          <w:rFonts w:ascii="Times New Roman CYR" w:eastAsiaTheme="minorEastAsia" w:hAnsi="Times New Roman CYR" w:cs="Times New Roman CYR"/>
          <w:b/>
          <w:bCs/>
          <w:color w:val="000000"/>
          <w:sz w:val="28"/>
          <w:szCs w:val="28"/>
        </w:rPr>
        <w:t>г.</w:t>
      </w:r>
    </w:p>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598"/>
      </w:tblGrid>
      <w:tr w:rsidR="003E6845" w:rsidRPr="003E6845" w:rsidTr="00812480">
        <w:trPr>
          <w:trHeight w:val="429"/>
        </w:trPr>
        <w:tc>
          <w:tcPr>
            <w:tcW w:w="10598" w:type="dxa"/>
            <w:tcBorders>
              <w:top w:val="single" w:sz="4" w:space="0" w:color="auto"/>
              <w:left w:val="nil"/>
              <w:bottom w:val="single" w:sz="4" w:space="0" w:color="auto"/>
              <w:right w:val="nil"/>
            </w:tcBorders>
            <w:vAlign w:val="bottom"/>
          </w:tcPr>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rPr>
            </w:pPr>
          </w:p>
        </w:tc>
      </w:tr>
      <w:tr w:rsidR="003E6845" w:rsidRPr="003E6845" w:rsidTr="00812480">
        <w:trPr>
          <w:trHeight w:val="110"/>
        </w:trPr>
        <w:tc>
          <w:tcPr>
            <w:tcW w:w="10598" w:type="dxa"/>
            <w:tcBorders>
              <w:top w:val="single" w:sz="4" w:space="0" w:color="auto"/>
              <w:left w:val="nil"/>
              <w:bottom w:val="nil"/>
              <w:right w:val="nil"/>
            </w:tcBorders>
          </w:tcPr>
          <w:p w:rsidR="003E6845" w:rsidRPr="003E6845" w:rsidRDefault="003E6845" w:rsidP="003E6845">
            <w:pPr>
              <w:widowControl w:val="0"/>
              <w:tabs>
                <w:tab w:val="center" w:pos="4960"/>
              </w:tabs>
              <w:autoSpaceDE w:val="0"/>
              <w:autoSpaceDN w:val="0"/>
              <w:adjustRightInd w:val="0"/>
              <w:jc w:val="center"/>
              <w:rPr>
                <w:rFonts w:ascii="Times New Roman CYR" w:eastAsiaTheme="minorEastAsia" w:hAnsi="Times New Roman CYR" w:cs="Times New Roman CYR"/>
                <w:sz w:val="20"/>
                <w:szCs w:val="20"/>
                <w:vertAlign w:val="superscript"/>
              </w:rPr>
            </w:pPr>
            <w:r w:rsidRPr="003E6845">
              <w:rPr>
                <w:rFonts w:ascii="Times New Roman CYR" w:eastAsiaTheme="minorEastAsia" w:hAnsi="Times New Roman CYR" w:cs="Times New Roman CYR"/>
                <w:sz w:val="20"/>
                <w:szCs w:val="20"/>
                <w:vertAlign w:val="superscript"/>
              </w:rPr>
              <w:t>(адрес арендатора и номер телефона)</w:t>
            </w:r>
          </w:p>
        </w:tc>
      </w:tr>
    </w:tbl>
    <w:p w:rsidR="003E6845" w:rsidRPr="003E6845" w:rsidRDefault="003E6845" w:rsidP="003E6845">
      <w:pPr>
        <w:widowControl w:val="0"/>
        <w:shd w:val="clear" w:color="auto" w:fill="FFFFFF"/>
        <w:autoSpaceDE w:val="0"/>
        <w:autoSpaceDN w:val="0"/>
        <w:adjustRightInd w:val="0"/>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Реквизиты получателя платежа:</w:t>
      </w:r>
    </w:p>
    <w:p w:rsidR="003E6845" w:rsidRPr="003E6845" w:rsidRDefault="003E6845" w:rsidP="003E6845">
      <w:pPr>
        <w:widowControl w:val="0"/>
        <w:autoSpaceDE w:val="0"/>
        <w:autoSpaceDN w:val="0"/>
        <w:adjustRightInd w:val="0"/>
        <w:ind w:firstLine="284"/>
        <w:jc w:val="both"/>
        <w:rPr>
          <w:rFonts w:ascii="Times New Roman CYR" w:eastAsiaTheme="minorEastAsia" w:hAnsi="Times New Roman CYR" w:cs="Times New Roman CYR"/>
          <w:sz w:val="22"/>
          <w:szCs w:val="22"/>
          <w:u w:val="single"/>
        </w:rPr>
      </w:pPr>
      <w:r w:rsidRPr="003E6845">
        <w:rPr>
          <w:rFonts w:ascii="Times New Roman CYR" w:eastAsiaTheme="minorEastAsia" w:hAnsi="Times New Roman CYR" w:cs="Times New Roman CYR"/>
          <w:sz w:val="22"/>
          <w:szCs w:val="22"/>
        </w:rPr>
        <w:t xml:space="preserve">УФК по Липецкой области (Администрация Добринского муниципального района Липецкой области) ИНН 4804002990 КПП 480401001, Банк: Отделение Липецк г. Липецк БИК 044206001 р/с </w:t>
      </w:r>
      <w:r w:rsidRPr="003E6845">
        <w:rPr>
          <w:rFonts w:ascii="Times New Roman CYR" w:eastAsiaTheme="minorEastAsia" w:hAnsi="Times New Roman CYR" w:cs="Times New Roman CYR"/>
          <w:sz w:val="22"/>
          <w:szCs w:val="22"/>
          <w:u w:val="single"/>
        </w:rPr>
        <w:t>40101810200000010006, ОКТМО 42612420, код БК 70211105013100000120.</w:t>
      </w:r>
    </w:p>
    <w:p w:rsidR="003E6845" w:rsidRPr="003E6845" w:rsidRDefault="003E6845" w:rsidP="003E6845">
      <w:pPr>
        <w:widowControl w:val="0"/>
        <w:autoSpaceDE w:val="0"/>
        <w:autoSpaceDN w:val="0"/>
        <w:adjustRightInd w:val="0"/>
        <w:jc w:val="both"/>
        <w:rPr>
          <w:rFonts w:ascii="Times New Roman CYR" w:eastAsiaTheme="minorEastAsia" w:hAnsi="Times New Roman CYR" w:cs="Times New Roman CYR"/>
          <w:sz w:val="10"/>
          <w:szCs w:val="10"/>
        </w:rPr>
      </w:pPr>
    </w:p>
    <w:p w:rsidR="003E6845" w:rsidRPr="003E6845" w:rsidRDefault="003E6845" w:rsidP="003E6845">
      <w:pPr>
        <w:widowControl w:val="0"/>
        <w:autoSpaceDE w:val="0"/>
        <w:autoSpaceDN w:val="0"/>
        <w:adjustRightInd w:val="0"/>
        <w:ind w:firstLine="709"/>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 xml:space="preserve">На основании ст. 614 Гражданского кодекса Российской Федерации от 26.01.96 г. №14-ФЗ, п. 3 ст. 65 Земельного Кодекса Российской Федерации от 25.10.01 г. №136-ФЗ, Постановления администрации Липецкой области №179 от 24.12.07 г., Устава Добринского муниципального района и Положения «О порядке определения арендной платы, условиях и сроках её внесения за использование земельных участков, находящихся в собственности Добринского муниципального района, и земельных участков, государственная собственность на которые не разграничена, на территории Добринского района», утвержденного решением Совета депутатов Добринского муниципального района №134-РС от 10.02.2017 года, арендатор обязан уплатить арендную плату: </w:t>
      </w:r>
    </w:p>
    <w:tbl>
      <w:tblPr>
        <w:tblW w:w="9216" w:type="dxa"/>
        <w:tblLayout w:type="fixed"/>
        <w:tblLook w:val="0000"/>
      </w:tblPr>
      <w:tblGrid>
        <w:gridCol w:w="1237"/>
        <w:gridCol w:w="996"/>
        <w:gridCol w:w="1478"/>
        <w:gridCol w:w="957"/>
        <w:gridCol w:w="1317"/>
        <w:gridCol w:w="1077"/>
        <w:gridCol w:w="957"/>
        <w:gridCol w:w="1197"/>
      </w:tblGrid>
      <w:tr w:rsidR="003E6845" w:rsidRPr="003E6845" w:rsidTr="000A1A1A">
        <w:trPr>
          <w:trHeight w:val="1153"/>
        </w:trPr>
        <w:tc>
          <w:tcPr>
            <w:tcW w:w="1237"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sz w:val="20"/>
                <w:szCs w:val="20"/>
                <w:lang w:val="en-US"/>
              </w:rPr>
            </w:pPr>
            <w:bookmarkStart w:id="6" w:name="_GoBack"/>
            <w:bookmarkEnd w:id="6"/>
            <w:r w:rsidRPr="003E6845">
              <w:rPr>
                <w:rFonts w:eastAsiaTheme="minorEastAsia"/>
                <w:sz w:val="20"/>
                <w:szCs w:val="20"/>
                <w:lang w:val="en-US"/>
              </w:rPr>
              <w:t>Наименование объектоваренды</w:t>
            </w:r>
          </w:p>
        </w:tc>
        <w:tc>
          <w:tcPr>
            <w:tcW w:w="99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Категория земельного участка</w:t>
            </w:r>
          </w:p>
        </w:tc>
        <w:tc>
          <w:tcPr>
            <w:tcW w:w="1478"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Место нахождения объектов аренды (адрес)</w:t>
            </w: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 xml:space="preserve">Площадь участка </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(кв.м.)</w:t>
            </w:r>
          </w:p>
        </w:tc>
        <w:tc>
          <w:tcPr>
            <w:tcW w:w="131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Кадастровый номер</w:t>
            </w:r>
          </w:p>
        </w:tc>
        <w:tc>
          <w:tcPr>
            <w:tcW w:w="107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ind w:left="-108"/>
              <w:jc w:val="center"/>
              <w:rPr>
                <w:rFonts w:eastAsiaTheme="minorEastAsia"/>
                <w:color w:val="000000"/>
                <w:sz w:val="20"/>
                <w:szCs w:val="20"/>
              </w:rPr>
            </w:pPr>
            <w:r w:rsidRPr="003E6845">
              <w:rPr>
                <w:rFonts w:eastAsiaTheme="minorEastAsia"/>
                <w:color w:val="000000"/>
                <w:sz w:val="20"/>
                <w:szCs w:val="20"/>
              </w:rPr>
              <w:t>Кадастровая стоимость                (руб.)*</w:t>
            </w: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Ставка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w:t>
            </w:r>
          </w:p>
        </w:tc>
        <w:tc>
          <w:tcPr>
            <w:tcW w:w="119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Сумма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(руб.)</w:t>
            </w:r>
          </w:p>
        </w:tc>
      </w:tr>
      <w:tr w:rsidR="003E6845" w:rsidRPr="003E6845" w:rsidTr="000A1A1A">
        <w:trPr>
          <w:trHeight w:val="1153"/>
        </w:trPr>
        <w:tc>
          <w:tcPr>
            <w:tcW w:w="1237"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sz w:val="20"/>
                <w:szCs w:val="20"/>
              </w:rPr>
            </w:pPr>
            <w:r w:rsidRPr="003E6845">
              <w:rPr>
                <w:rFonts w:eastAsiaTheme="minorEastAsia"/>
                <w:color w:val="000000"/>
                <w:sz w:val="20"/>
                <w:szCs w:val="20"/>
              </w:rPr>
              <w:t>Земельный участок для сельскохозяйственного производства</w:t>
            </w:r>
          </w:p>
        </w:tc>
        <w:tc>
          <w:tcPr>
            <w:tcW w:w="99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single" w:sz="4" w:space="0" w:color="auto"/>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r w:rsidR="003E6845" w:rsidRPr="003E6845" w:rsidTr="000A1A1A">
        <w:trPr>
          <w:trHeight w:val="192"/>
        </w:trPr>
        <w:tc>
          <w:tcPr>
            <w:tcW w:w="1237" w:type="dxa"/>
            <w:tcBorders>
              <w:top w:val="single" w:sz="4" w:space="0" w:color="auto"/>
              <w:left w:val="single" w:sz="4" w:space="0" w:color="auto"/>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ИТОГО:</w:t>
            </w:r>
          </w:p>
        </w:tc>
        <w:tc>
          <w:tcPr>
            <w:tcW w:w="996"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right"/>
              <w:rPr>
                <w:rFonts w:eastAsiaTheme="minorEastAsia"/>
                <w:color w:val="000000"/>
                <w:sz w:val="20"/>
                <w:szCs w:val="20"/>
                <w:lang w:val="en-US"/>
              </w:rPr>
            </w:pPr>
          </w:p>
        </w:tc>
      </w:tr>
      <w:tr w:rsidR="003E6845" w:rsidRPr="003E6845" w:rsidTr="000A1A1A">
        <w:trPr>
          <w:trHeight w:val="1153"/>
        </w:trPr>
        <w:tc>
          <w:tcPr>
            <w:tcW w:w="1237" w:type="dxa"/>
            <w:tcBorders>
              <w:top w:val="nil"/>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Сроки уплаты</w:t>
            </w:r>
          </w:p>
          <w:p w:rsidR="003E6845" w:rsidRPr="003E6845" w:rsidRDefault="003E6845" w:rsidP="003E6845">
            <w:pPr>
              <w:widowControl w:val="0"/>
              <w:autoSpaceDE w:val="0"/>
              <w:autoSpaceDN w:val="0"/>
              <w:adjustRightInd w:val="0"/>
              <w:rPr>
                <w:rFonts w:eastAsiaTheme="minorEastAsia"/>
                <w:color w:val="000000"/>
                <w:sz w:val="20"/>
                <w:szCs w:val="20"/>
              </w:rPr>
            </w:pPr>
            <w:bookmarkStart w:id="7" w:name="OLE_LINK2"/>
            <w:bookmarkStart w:id="8" w:name="OLE_LINK1"/>
            <w:r w:rsidRPr="003E6845">
              <w:rPr>
                <w:rFonts w:eastAsiaTheme="minorEastAsia"/>
                <w:color w:val="000000"/>
                <w:sz w:val="20"/>
                <w:szCs w:val="20"/>
              </w:rPr>
              <w:t>25 марта</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июня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сентября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15 ноября</w:t>
            </w:r>
            <w:bookmarkEnd w:id="7"/>
            <w:bookmarkEnd w:id="8"/>
          </w:p>
        </w:tc>
        <w:tc>
          <w:tcPr>
            <w:tcW w:w="996"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nil"/>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bl>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color w:val="000000"/>
          <w:sz w:val="20"/>
          <w:szCs w:val="20"/>
        </w:rPr>
        <w:t>*</w:t>
      </w:r>
      <w:r w:rsidRPr="003E6845">
        <w:rPr>
          <w:rFonts w:ascii="Times New Roman CYR" w:eastAsiaTheme="minorEastAsia" w:hAnsi="Times New Roman CYR" w:cs="Times New Roman CYR"/>
          <w:sz w:val="22"/>
          <w:szCs w:val="22"/>
        </w:rPr>
        <w:t xml:space="preserve">При отсутствии кадастрового номера земельного участка кадастровая стоимость земельного участка рассчитывается по средним удельным показателям по видам использования, установленных решениями управления имущественных и земельных отношений Липецкой области. </w:t>
      </w:r>
    </w:p>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p>
    <w:tbl>
      <w:tblPr>
        <w:tblW w:w="0" w:type="auto"/>
        <w:tblLayout w:type="fixed"/>
        <w:tblLook w:val="0000"/>
      </w:tblPr>
      <w:tblGrid>
        <w:gridCol w:w="3510"/>
        <w:gridCol w:w="7230"/>
      </w:tblGrid>
      <w:tr w:rsidR="003E6845" w:rsidRPr="003E6845" w:rsidTr="00812480">
        <w:trPr>
          <w:trHeight w:val="615"/>
        </w:trPr>
        <w:tc>
          <w:tcPr>
            <w:tcW w:w="3510" w:type="dxa"/>
            <w:tcBorders>
              <w:top w:val="nil"/>
              <w:left w:val="nil"/>
              <w:bottom w:val="nil"/>
              <w:right w:val="nil"/>
            </w:tcBorders>
          </w:tcPr>
          <w:p w:rsidR="003E6845" w:rsidRPr="003E6845" w:rsidRDefault="003E6845" w:rsidP="003E6845">
            <w:pPr>
              <w:widowControl w:val="0"/>
              <w:autoSpaceDE w:val="0"/>
              <w:autoSpaceDN w:val="0"/>
              <w:adjustRightInd w:val="0"/>
              <w:rPr>
                <w:rFonts w:ascii="Times New Roman CYR" w:eastAsiaTheme="minorEastAsia" w:hAnsi="Times New Roman CYR" w:cs="Times New Roman CYR"/>
              </w:rPr>
            </w:pPr>
            <w:r w:rsidRPr="003E6845">
              <w:rPr>
                <w:rFonts w:ascii="Times New Roman CYR" w:eastAsiaTheme="minorEastAsia" w:hAnsi="Times New Roman CYR" w:cs="Times New Roman CYR"/>
                <w:color w:val="000000"/>
                <w:sz w:val="20"/>
                <w:szCs w:val="20"/>
              </w:rPr>
              <w:t>Глава администрации района</w:t>
            </w:r>
          </w:p>
        </w:tc>
        <w:tc>
          <w:tcPr>
            <w:tcW w:w="7230" w:type="dxa"/>
            <w:tcBorders>
              <w:top w:val="nil"/>
              <w:left w:val="nil"/>
              <w:bottom w:val="nil"/>
              <w:right w:val="nil"/>
            </w:tcBorders>
          </w:tcPr>
          <w:p w:rsidR="003E6845" w:rsidRPr="003E6845" w:rsidRDefault="003E6845" w:rsidP="003E6845">
            <w:pPr>
              <w:widowControl w:val="0"/>
              <w:autoSpaceDE w:val="0"/>
              <w:autoSpaceDN w:val="0"/>
              <w:adjustRightInd w:val="0"/>
              <w:ind w:left="459"/>
              <w:rPr>
                <w:rFonts w:ascii="Times New Roman CYR" w:eastAsiaTheme="minorEastAsia" w:hAnsi="Times New Roman CYR" w:cs="Times New Roman CYR"/>
                <w:color w:val="000000"/>
                <w:sz w:val="20"/>
                <w:szCs w:val="20"/>
                <w:u w:val="single"/>
              </w:rPr>
            </w:pPr>
            <w:r w:rsidRPr="003E6845">
              <w:rPr>
                <w:rFonts w:ascii="Times New Roman CYR" w:eastAsiaTheme="minorEastAsia" w:hAnsi="Times New Roman CYR" w:cs="Times New Roman CYR"/>
                <w:color w:val="000000"/>
                <w:sz w:val="20"/>
                <w:szCs w:val="20"/>
              </w:rPr>
              <w:t xml:space="preserve">_____________________________                </w:t>
            </w:r>
            <w:r w:rsidRPr="003E6845">
              <w:rPr>
                <w:rFonts w:ascii="Times New Roman CYR" w:eastAsiaTheme="minorEastAsia" w:hAnsi="Times New Roman CYR" w:cs="Times New Roman CYR"/>
                <w:color w:val="000000"/>
                <w:sz w:val="20"/>
                <w:szCs w:val="20"/>
                <w:u w:val="single"/>
              </w:rPr>
              <w:t xml:space="preserve">     С.П. Москворецкий    </w:t>
            </w:r>
          </w:p>
          <w:p w:rsidR="003E6845" w:rsidRPr="003E6845" w:rsidRDefault="003E6845" w:rsidP="003E6845">
            <w:pPr>
              <w:widowControl w:val="0"/>
              <w:autoSpaceDE w:val="0"/>
              <w:autoSpaceDN w:val="0"/>
              <w:adjustRightInd w:val="0"/>
              <w:ind w:left="1593"/>
              <w:rPr>
                <w:rFonts w:ascii="Times New Roman CYR" w:eastAsiaTheme="minorEastAsia" w:hAnsi="Times New Roman CYR" w:cs="Times New Roman CYR"/>
                <w:sz w:val="14"/>
                <w:szCs w:val="14"/>
              </w:rPr>
            </w:pPr>
            <w:r w:rsidRPr="003E6845">
              <w:rPr>
                <w:rFonts w:ascii="Times New Roman CYR" w:eastAsiaTheme="minorEastAsia" w:hAnsi="Times New Roman CYR" w:cs="Times New Roman CYR"/>
                <w:color w:val="000000"/>
                <w:sz w:val="14"/>
                <w:szCs w:val="14"/>
              </w:rPr>
              <w:t>(подпись)                                                     (расшифровка подписи)</w:t>
            </w:r>
          </w:p>
        </w:tc>
      </w:tr>
    </w:tbl>
    <w:p w:rsidR="003E6845" w:rsidRPr="003E6845" w:rsidRDefault="003E6845" w:rsidP="003E6845">
      <w:pPr>
        <w:widowControl w:val="0"/>
        <w:autoSpaceDE w:val="0"/>
        <w:autoSpaceDN w:val="0"/>
        <w:adjustRightInd w:val="0"/>
        <w:rPr>
          <w:rFonts w:ascii="Times New Roman CYR" w:eastAsiaTheme="minorEastAsia" w:hAnsi="Times New Roman CYR" w:cs="Times New Roman CYR"/>
          <w:sz w:val="16"/>
          <w:szCs w:val="16"/>
        </w:rPr>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3E6845"/>
    <w:p w:rsidR="003E6845" w:rsidRDefault="003E6845"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Добринского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r>
        <w:rPr>
          <w:rFonts w:eastAsia="Bookman Old Style"/>
          <w:b/>
          <w:i/>
          <w:iCs/>
        </w:rPr>
        <w:t>местоположение________________________________________________________</w:t>
      </w:r>
    </w:p>
    <w:p w:rsidR="004E36BE" w:rsidRDefault="004E36BE" w:rsidP="004E36BE">
      <w:pPr>
        <w:tabs>
          <w:tab w:val="center" w:pos="5486"/>
          <w:tab w:val="left" w:pos="9900"/>
        </w:tabs>
      </w:pPr>
      <w:r>
        <w:rPr>
          <w:b/>
        </w:rPr>
        <w:t>Заявитель</w:t>
      </w:r>
      <w:r>
        <w:t>______________________________________________________________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lastRenderedPageBreak/>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Добринского муниципального района в лице главы администрации </w:t>
      </w:r>
      <w:r w:rsidR="004A211F">
        <w:rPr>
          <w:rFonts w:ascii="Bookman Old Style" w:hAnsi="Bookman Old Style"/>
          <w:sz w:val="20"/>
          <w:szCs w:val="20"/>
        </w:rPr>
        <w:t>Добринского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r>
        <w:t>действующ___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по адресу: Липецкая область Добринский район п.Добринкаул.</w:t>
      </w:r>
      <w:r w:rsidR="004A211F">
        <w:t>М.Горького,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Управление финансов администрации Добринского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w:t>
      </w:r>
      <w:r>
        <w:rPr>
          <w:bCs/>
          <w:iCs/>
        </w:rPr>
        <w:lastRenderedPageBreak/>
        <w:t>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Добринского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lastRenderedPageBreak/>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tblPr>
      <w:tblGrid>
        <w:gridCol w:w="4448"/>
        <w:gridCol w:w="4997"/>
      </w:tblGrid>
      <w:tr w:rsidR="00481132" w:rsidTr="00A37C46">
        <w:trPr>
          <w:tblCellSpacing w:w="15" w:type="dxa"/>
        </w:trPr>
        <w:tc>
          <w:tcPr>
            <w:tcW w:w="0" w:type="auto"/>
            <w:vAlign w:val="center"/>
            <w:hideMark/>
          </w:tcPr>
          <w:p w:rsidR="00481132" w:rsidRDefault="00481132" w:rsidP="00155320">
            <w:pPr>
              <w:pStyle w:val="p2"/>
            </w:pPr>
            <w:r>
              <w:t>Администрация Добринского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lastRenderedPageBreak/>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lastRenderedPageBreak/>
              <w:t>399430, Липецкая обл., Добринский район, п.Добринка ул.</w:t>
            </w:r>
            <w:r w:rsidR="00155320">
              <w:t>М.Горького,д.5</w:t>
            </w:r>
          </w:p>
          <w:p w:rsidR="00481132" w:rsidRDefault="00481132" w:rsidP="00A37C46">
            <w:pPr>
              <w:pStyle w:val="p2"/>
              <w:rPr>
                <w:rStyle w:val="s6"/>
              </w:rPr>
            </w:pPr>
            <w:r>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р/сч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t>р/с ________________________________</w:t>
            </w:r>
          </w:p>
          <w:p w:rsidR="00481132" w:rsidRDefault="00481132" w:rsidP="00A37C46">
            <w:pPr>
              <w:pStyle w:val="p2"/>
            </w:pPr>
            <w:r>
              <w:t>в _________________________________,</w:t>
            </w:r>
          </w:p>
          <w:p w:rsidR="00481132" w:rsidRDefault="00481132" w:rsidP="00A37C46">
            <w:pPr>
              <w:pStyle w:val="p2"/>
            </w:pPr>
            <w:r>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________________С.П.Москворецкий</w:t>
            </w:r>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436E2"/>
    <w:rsid w:val="000A1A1A"/>
    <w:rsid w:val="000B2CD6"/>
    <w:rsid w:val="000B3D52"/>
    <w:rsid w:val="00155320"/>
    <w:rsid w:val="00156014"/>
    <w:rsid w:val="001653A2"/>
    <w:rsid w:val="00252000"/>
    <w:rsid w:val="002A78ED"/>
    <w:rsid w:val="003B145B"/>
    <w:rsid w:val="003E6845"/>
    <w:rsid w:val="00481132"/>
    <w:rsid w:val="004820ED"/>
    <w:rsid w:val="004926E3"/>
    <w:rsid w:val="004A211F"/>
    <w:rsid w:val="004D3B20"/>
    <w:rsid w:val="004E36BE"/>
    <w:rsid w:val="00551B02"/>
    <w:rsid w:val="005B6F19"/>
    <w:rsid w:val="00662489"/>
    <w:rsid w:val="0066783B"/>
    <w:rsid w:val="006D00E4"/>
    <w:rsid w:val="00703602"/>
    <w:rsid w:val="007107FC"/>
    <w:rsid w:val="00764B9A"/>
    <w:rsid w:val="008101ED"/>
    <w:rsid w:val="00830D92"/>
    <w:rsid w:val="0085166B"/>
    <w:rsid w:val="00854E72"/>
    <w:rsid w:val="009F793F"/>
    <w:rsid w:val="00A84A59"/>
    <w:rsid w:val="00B22846"/>
    <w:rsid w:val="00B279DC"/>
    <w:rsid w:val="00B32751"/>
    <w:rsid w:val="00C724E7"/>
    <w:rsid w:val="00CA3BA4"/>
    <w:rsid w:val="00D436E2"/>
    <w:rsid w:val="00D93885"/>
    <w:rsid w:val="00E61AD6"/>
    <w:rsid w:val="00E71694"/>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 w:type="table" w:customStyle="1" w:styleId="1">
    <w:name w:val="Сетка таблицы1"/>
    <w:basedOn w:val="a1"/>
    <w:next w:val="a6"/>
    <w:uiPriority w:val="59"/>
    <w:rsid w:val="003E684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Леня</cp:lastModifiedBy>
  <cp:revision>2</cp:revision>
  <dcterms:created xsi:type="dcterms:W3CDTF">2017-10-06T12:36:00Z</dcterms:created>
  <dcterms:modified xsi:type="dcterms:W3CDTF">2017-10-06T12:36:00Z</dcterms:modified>
</cp:coreProperties>
</file>