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344FC" w:rsidTr="00007FFE">
        <w:trPr>
          <w:cantSplit/>
          <w:trHeight w:val="1293"/>
          <w:jc w:val="center"/>
        </w:trPr>
        <w:tc>
          <w:tcPr>
            <w:tcW w:w="4608" w:type="dxa"/>
          </w:tcPr>
          <w:p w:rsidR="00F344FC" w:rsidRDefault="00F344FC" w:rsidP="00007FF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FC" w:rsidRDefault="00F344FC" w:rsidP="00F344FC">
      <w:pPr>
        <w:pStyle w:val="a3"/>
        <w:ind w:right="-94"/>
      </w:pPr>
      <w:r>
        <w:t>СОВЕТ  ДЕПУТАТОВ</w:t>
      </w:r>
    </w:p>
    <w:p w:rsidR="00F344FC" w:rsidRDefault="00F344FC" w:rsidP="00F344FC">
      <w:pPr>
        <w:pStyle w:val="a3"/>
        <w:ind w:right="-94"/>
      </w:pPr>
      <w:r>
        <w:t xml:space="preserve"> ДОБРИНСКОГО МУНИЦИПАЛЬНОГО РАЙОНА</w:t>
      </w:r>
    </w:p>
    <w:p w:rsidR="00F344FC" w:rsidRDefault="00F344FC" w:rsidP="00F344F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344FC" w:rsidRDefault="00F344FC" w:rsidP="00F344FC">
      <w:pPr>
        <w:ind w:right="-94"/>
        <w:jc w:val="center"/>
        <w:rPr>
          <w:sz w:val="28"/>
        </w:rPr>
      </w:pPr>
      <w:r>
        <w:rPr>
          <w:sz w:val="28"/>
        </w:rPr>
        <w:t xml:space="preserve">39-я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F344FC" w:rsidRDefault="00F344FC" w:rsidP="00F344FC">
      <w:pPr>
        <w:ind w:right="-94"/>
        <w:jc w:val="center"/>
        <w:rPr>
          <w:sz w:val="32"/>
        </w:rPr>
      </w:pPr>
    </w:p>
    <w:p w:rsidR="00F344FC" w:rsidRDefault="00F344FC" w:rsidP="00F344FC">
      <w:pPr>
        <w:ind w:right="-94"/>
        <w:jc w:val="center"/>
        <w:rPr>
          <w:sz w:val="32"/>
        </w:rPr>
      </w:pPr>
    </w:p>
    <w:p w:rsidR="00F344FC" w:rsidRPr="00F344FC" w:rsidRDefault="00F344FC" w:rsidP="00F344FC">
      <w:pPr>
        <w:pStyle w:val="7"/>
        <w:ind w:right="-94"/>
        <w:jc w:val="center"/>
        <w:rPr>
          <w:b/>
          <w:i w:val="0"/>
          <w:sz w:val="44"/>
        </w:rPr>
      </w:pPr>
      <w:r w:rsidRPr="00F344FC">
        <w:rPr>
          <w:b/>
          <w:i w:val="0"/>
          <w:sz w:val="44"/>
        </w:rPr>
        <w:t>РЕШЕНИЕ</w:t>
      </w:r>
    </w:p>
    <w:p w:rsidR="00F344FC" w:rsidRDefault="00F344FC" w:rsidP="00F344FC"/>
    <w:p w:rsidR="00F344FC" w:rsidRDefault="00F344FC" w:rsidP="00F344FC">
      <w:pPr>
        <w:pStyle w:val="31"/>
        <w:ind w:firstLine="0"/>
        <w:jc w:val="left"/>
        <w:rPr>
          <w:sz w:val="24"/>
        </w:rPr>
      </w:pPr>
      <w:r>
        <w:t xml:space="preserve">29.05.2012г. 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407-рс</w:t>
      </w:r>
      <w:r>
        <w:rPr>
          <w:sz w:val="24"/>
        </w:rPr>
        <w:t xml:space="preserve">  </w:t>
      </w:r>
    </w:p>
    <w:p w:rsidR="00F344FC" w:rsidRDefault="00F344FC" w:rsidP="00F344FC">
      <w:pPr>
        <w:pStyle w:val="31"/>
        <w:ind w:firstLine="0"/>
        <w:jc w:val="left"/>
        <w:rPr>
          <w:sz w:val="24"/>
        </w:rPr>
      </w:pPr>
    </w:p>
    <w:p w:rsidR="00F344FC" w:rsidRDefault="00F344FC" w:rsidP="00F344FC">
      <w:pPr>
        <w:jc w:val="both"/>
        <w:rPr>
          <w:sz w:val="16"/>
          <w:szCs w:val="16"/>
        </w:rPr>
      </w:pPr>
    </w:p>
    <w:p w:rsidR="00F344FC" w:rsidRDefault="00F344FC" w:rsidP="00F344FC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Положении «О Контрольно-счетной комиссии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района» </w:t>
      </w:r>
    </w:p>
    <w:p w:rsidR="00F344FC" w:rsidRDefault="00F344FC" w:rsidP="00F344FC">
      <w:pPr>
        <w:jc w:val="both"/>
        <w:rPr>
          <w:sz w:val="16"/>
          <w:szCs w:val="16"/>
        </w:rPr>
      </w:pPr>
    </w:p>
    <w:p w:rsidR="00F344FC" w:rsidRDefault="00F344FC" w:rsidP="00F344FC">
      <w:pPr>
        <w:pStyle w:val="3"/>
        <w:jc w:val="center"/>
        <w:rPr>
          <w:b w:val="0"/>
          <w:szCs w:val="27"/>
        </w:rPr>
      </w:pPr>
    </w:p>
    <w:p w:rsidR="00F344FC" w:rsidRDefault="00F344FC" w:rsidP="00F344FC">
      <w:pPr>
        <w:ind w:firstLine="720"/>
        <w:jc w:val="both"/>
        <w:rPr>
          <w:sz w:val="28"/>
          <w:szCs w:val="27"/>
        </w:rPr>
      </w:pP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«О Положении </w:t>
      </w:r>
      <w:r w:rsidRPr="00CB1364">
        <w:rPr>
          <w:sz w:val="28"/>
        </w:rPr>
        <w:t xml:space="preserve">«О </w:t>
      </w:r>
      <w:r w:rsidRPr="00CB1364">
        <w:rPr>
          <w:bCs/>
          <w:sz w:val="28"/>
        </w:rPr>
        <w:t xml:space="preserve">Контрольно-счетной комиссии </w:t>
      </w:r>
      <w:proofErr w:type="spellStart"/>
      <w:r w:rsidRPr="00CB1364">
        <w:rPr>
          <w:bCs/>
          <w:sz w:val="28"/>
        </w:rPr>
        <w:t>Добринского</w:t>
      </w:r>
      <w:proofErr w:type="spellEnd"/>
      <w:r w:rsidRPr="00CB1364">
        <w:rPr>
          <w:bCs/>
          <w:sz w:val="28"/>
        </w:rPr>
        <w:t xml:space="preserve"> муниципального района» </w:t>
      </w:r>
      <w:r>
        <w:rPr>
          <w:bCs/>
          <w:sz w:val="28"/>
        </w:rPr>
        <w:t xml:space="preserve">и протест прокурора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района на решение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района Липецкой области от 26.11.2008г. № 83-рс «О Положении «О Контрольно-счетной комиссии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района», </w:t>
      </w:r>
      <w:r>
        <w:rPr>
          <w:sz w:val="28"/>
          <w:szCs w:val="27"/>
        </w:rPr>
        <w:t xml:space="preserve">руководствуясь ст.26 Устава </w:t>
      </w:r>
      <w:proofErr w:type="spellStart"/>
      <w:r>
        <w:rPr>
          <w:sz w:val="28"/>
          <w:szCs w:val="27"/>
        </w:rPr>
        <w:t>Добринского</w:t>
      </w:r>
      <w:proofErr w:type="spellEnd"/>
      <w:r>
        <w:rPr>
          <w:sz w:val="28"/>
          <w:szCs w:val="27"/>
        </w:rPr>
        <w:t xml:space="preserve"> муниципального района,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7"/>
        </w:rPr>
        <w:t>Добринского</w:t>
      </w:r>
      <w:proofErr w:type="spellEnd"/>
      <w:r>
        <w:rPr>
          <w:sz w:val="28"/>
          <w:szCs w:val="27"/>
        </w:rPr>
        <w:t xml:space="preserve"> муниципального района</w:t>
      </w:r>
    </w:p>
    <w:p w:rsidR="00F344FC" w:rsidRDefault="00F344FC" w:rsidP="00F344FC">
      <w:pPr>
        <w:jc w:val="both"/>
        <w:rPr>
          <w:b/>
          <w:bCs/>
          <w:sz w:val="28"/>
          <w:szCs w:val="27"/>
        </w:rPr>
      </w:pPr>
      <w:r>
        <w:rPr>
          <w:sz w:val="28"/>
          <w:szCs w:val="27"/>
        </w:rPr>
        <w:tab/>
      </w:r>
      <w:proofErr w:type="gramStart"/>
      <w:r>
        <w:rPr>
          <w:b/>
          <w:bCs/>
          <w:sz w:val="28"/>
          <w:szCs w:val="27"/>
        </w:rPr>
        <w:t>Р</w:t>
      </w:r>
      <w:proofErr w:type="gramEnd"/>
      <w:r>
        <w:rPr>
          <w:b/>
          <w:bCs/>
          <w:sz w:val="28"/>
          <w:szCs w:val="27"/>
        </w:rPr>
        <w:t xml:space="preserve"> Е Ш И Л:</w:t>
      </w: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1.Принять Положение «</w:t>
      </w:r>
      <w:r>
        <w:rPr>
          <w:sz w:val="28"/>
        </w:rPr>
        <w:t xml:space="preserve">О Контрольно-счетной комиссии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</w:t>
      </w:r>
      <w:r>
        <w:rPr>
          <w:sz w:val="28"/>
          <w:szCs w:val="28"/>
        </w:rPr>
        <w:t xml:space="preserve"> в новой редакции (прилагается).</w:t>
      </w: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2.Направить указанный нормативный правой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  <w:proofErr w:type="gramEnd"/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344FC" w:rsidRPr="00AE57A2" w:rsidRDefault="00F344FC" w:rsidP="00F3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26.11.2008г. № 83-рс </w:t>
      </w:r>
      <w:r w:rsidRPr="00AE57A2">
        <w:rPr>
          <w:sz w:val="28"/>
          <w:szCs w:val="28"/>
        </w:rPr>
        <w:t xml:space="preserve">«О Положении «О контрольно-счетной комиссии </w:t>
      </w:r>
      <w:proofErr w:type="spellStart"/>
      <w:r w:rsidRPr="00AE57A2">
        <w:rPr>
          <w:sz w:val="28"/>
          <w:szCs w:val="28"/>
        </w:rPr>
        <w:t>Добринского</w:t>
      </w:r>
      <w:proofErr w:type="spellEnd"/>
      <w:r w:rsidRPr="00AE57A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344FC" w:rsidRDefault="00F344FC" w:rsidP="00F34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 его принятия.</w:t>
      </w:r>
    </w:p>
    <w:p w:rsidR="00F344FC" w:rsidRDefault="00F344FC" w:rsidP="00F344F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344FC" w:rsidRPr="00F344FC" w:rsidRDefault="00F344FC" w:rsidP="00F344FC">
      <w:pPr>
        <w:pStyle w:val="1"/>
        <w:rPr>
          <w:color w:val="000000" w:themeColor="text1"/>
        </w:rPr>
      </w:pPr>
      <w:r w:rsidRPr="00F344FC">
        <w:rPr>
          <w:color w:val="000000" w:themeColor="text1"/>
        </w:rPr>
        <w:t>Председатель Совета депутатов</w:t>
      </w:r>
    </w:p>
    <w:p w:rsidR="00F344FC" w:rsidRDefault="00F344FC" w:rsidP="00F344FC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А.И.Попов</w:t>
      </w:r>
      <w:proofErr w:type="spellEnd"/>
    </w:p>
    <w:p w:rsidR="008863CC" w:rsidRDefault="008863CC" w:rsidP="008863CC">
      <w:pPr>
        <w:autoSpaceDE w:val="0"/>
        <w:autoSpaceDN w:val="0"/>
        <w:adjustRightInd w:val="0"/>
        <w:ind w:firstLine="540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</w:t>
      </w:r>
      <w:r w:rsidR="00F344FC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>Принято</w:t>
      </w:r>
    </w:p>
    <w:p w:rsidR="008863CC" w:rsidRDefault="008863CC" w:rsidP="008863CC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  <w:r>
        <w:rPr>
          <w:b/>
          <w:bCs/>
          <w:szCs w:val="28"/>
        </w:rPr>
        <w:t xml:space="preserve">        решением Совета депутатов</w:t>
      </w:r>
    </w:p>
    <w:p w:rsidR="008863CC" w:rsidRDefault="008863CC" w:rsidP="008863CC">
      <w:pPr>
        <w:pStyle w:val="5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8863CC" w:rsidRDefault="008863CC" w:rsidP="008863CC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  <w:r>
        <w:rPr>
          <w:b/>
          <w:bCs/>
          <w:szCs w:val="28"/>
        </w:rPr>
        <w:t xml:space="preserve">            от 29.05.2012г.  № 407-рс</w:t>
      </w:r>
    </w:p>
    <w:p w:rsidR="008863CC" w:rsidRDefault="008863CC" w:rsidP="008863CC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8863CC" w:rsidRDefault="008863CC" w:rsidP="008863CC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8863CC" w:rsidRDefault="008863CC" w:rsidP="008863CC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8863CC" w:rsidRDefault="008863CC" w:rsidP="008863CC">
      <w:pPr>
        <w:pStyle w:val="ConsPlusTitle"/>
        <w:jc w:val="center"/>
        <w:outlineLvl w:val="0"/>
      </w:pPr>
      <w:r>
        <w:t>ПОЛОЖЕНИЕ</w:t>
      </w:r>
    </w:p>
    <w:p w:rsidR="008863CC" w:rsidRDefault="008863CC" w:rsidP="008863CC">
      <w:pPr>
        <w:pStyle w:val="ConsPlusTitle"/>
        <w:jc w:val="center"/>
        <w:outlineLvl w:val="0"/>
      </w:pPr>
      <w:r>
        <w:t>О КОНТРОЛЬНО-СЧЕТНОЙ КОМИССИИ ДОБРИНСКОГО</w:t>
      </w:r>
    </w:p>
    <w:p w:rsidR="008863CC" w:rsidRDefault="008863CC" w:rsidP="008863CC">
      <w:pPr>
        <w:pStyle w:val="ConsPlusTitle"/>
        <w:jc w:val="center"/>
        <w:outlineLvl w:val="0"/>
      </w:pPr>
      <w:r>
        <w:t>МУНИЦИПАЛЬНОГО РАЙОНА ЛИПЕЦКОЙ ОБЛАСТИ</w:t>
      </w:r>
    </w:p>
    <w:p w:rsidR="008863CC" w:rsidRDefault="008863CC" w:rsidP="008863CC">
      <w:pPr>
        <w:pStyle w:val="ConsPlusTitle"/>
        <w:outlineLvl w:val="0"/>
      </w:pPr>
    </w:p>
    <w:p w:rsidR="008863CC" w:rsidRPr="00F15A23" w:rsidRDefault="008863CC" w:rsidP="008863CC">
      <w:pPr>
        <w:pStyle w:val="ConsPlusTitle"/>
        <w:ind w:firstLine="708"/>
        <w:jc w:val="both"/>
        <w:outlineLvl w:val="0"/>
        <w:rPr>
          <w:b w:val="0"/>
        </w:rPr>
      </w:pPr>
      <w:r w:rsidRPr="00F15A23">
        <w:rPr>
          <w:b w:val="0"/>
        </w:rPr>
        <w:t>Настоящее Положение разработано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863CC" w:rsidRPr="00F15A23" w:rsidRDefault="008863CC" w:rsidP="008863CC">
      <w:pPr>
        <w:pStyle w:val="ConsPlusNormal"/>
        <w:ind w:firstLine="540"/>
        <w:jc w:val="both"/>
        <w:outlineLvl w:val="0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1. Статус Контрольно-счетной комиссии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Контрольно-счетная комиссия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(далее - Контрольно-счетная комиссия) является постоянно действующим органом внешнего муниципального финансового контроля, образуется Советом депутатов </w:t>
      </w:r>
      <w:proofErr w:type="spellStart"/>
      <w:r>
        <w:t>Добринского</w:t>
      </w:r>
      <w:proofErr w:type="spellEnd"/>
      <w:r>
        <w:t xml:space="preserve"> муниципального района и ему подотчетна.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2. Контрольно-счетная комиссия обладает организационной и функциональной </w:t>
      </w:r>
      <w:proofErr w:type="gramStart"/>
      <w:r>
        <w:t>независимостью</w:t>
      </w:r>
      <w:proofErr w:type="gramEnd"/>
      <w:r>
        <w:t xml:space="preserve"> и осуществляют свою деятельность самостоятельно.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Контрольно-счетная комиссия является органом местного самоуправления, обладает правами юридического лица, име</w:t>
      </w:r>
      <w:r w:rsidR="00F344FC">
        <w:t>е</w:t>
      </w:r>
      <w:r>
        <w:t>т гербовую печать и бланки со своим наименованием и с изображением герба муниципального образования.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Контрольно-счетная комиссия обладает правом правотворческой инициативы по вопросам своей деятельности.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2. Правовые основы деятельности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Контрольно-счетная комиссия осуществляет свою деятельность на основе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законов и иных нормативных правовых актов Липецкой области, </w:t>
      </w:r>
      <w:hyperlink r:id="rId7" w:history="1">
        <w:r>
          <w:rPr>
            <w:color w:val="0000FF"/>
          </w:rPr>
          <w:t>Устава</w:t>
        </w:r>
      </w:hyperlink>
      <w:r>
        <w:t xml:space="preserve"> района, настоящего Положения и иных правовых актов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3. Принципы деятельности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4. Состав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Контрольно-счетная комиссия образуется в составе председателя и аппарата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Председатель Контрольно-счетной комиссии замещает муниципальную должность.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Срок полномочий председателя Контрольно-счетной комиссии составляет </w:t>
      </w:r>
      <w:r>
        <w:rPr>
          <w:color w:val="FF0000"/>
        </w:rPr>
        <w:t>пя</w:t>
      </w:r>
      <w:r w:rsidRPr="008974B7">
        <w:rPr>
          <w:color w:val="FF0000"/>
        </w:rPr>
        <w:t xml:space="preserve">ть </w:t>
      </w:r>
      <w:r>
        <w:t>лет.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В состав аппарата Контрольно-счетной комиссии входят главный специалист и иные штатные работники. На аппарат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Права, обязанности и ответственность работников аппарата Контрольно-счетной комиссии определяются федеральным законодательством, законодательством Российской Федерации, настоящим Положением и Регламентом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6. Структура и штатная численность Контрольно-счетной комиссии устанавливаются Советом депутатов </w:t>
      </w:r>
      <w:proofErr w:type="spellStart"/>
      <w:r>
        <w:t>Добринского</w:t>
      </w:r>
      <w:proofErr w:type="spellEnd"/>
      <w:r>
        <w:t xml:space="preserve"> муниципального района по предложению председателя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7. Штатное расписание Контрольно-счетной комиссии утверждается председателем Контрольно-счетной комиссии, исходя из возложенных на Контрольно-счетную комиссию полномочий.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5. Порядок назначения на должность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lastRenderedPageBreak/>
        <w:t>председателя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Председатель Контрольно-счетной комиссии назначается на должность Советом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2. Предложения о кандидатурах на должность председателя Контрольно-счетной комиссии вносятся в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1) председателем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2) не менее одной трети от установленного числа депутатов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3) главой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863CC" w:rsidRDefault="008863CC" w:rsidP="00F344FC">
      <w:pPr>
        <w:pStyle w:val="ConsPlusNormal"/>
        <w:ind w:firstLine="540"/>
        <w:jc w:val="both"/>
        <w:outlineLvl w:val="1"/>
        <w:rPr>
          <w:sz w:val="2"/>
          <w:szCs w:val="2"/>
        </w:rPr>
      </w:pPr>
      <w:r>
        <w:t xml:space="preserve">3. Кандидатуры на должность председателя Контрольно-счетной комиссии представляются в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перечисленными в </w:t>
      </w:r>
      <w:hyperlink r:id="rId8" w:history="1">
        <w:r>
          <w:rPr>
            <w:color w:val="0000FF"/>
          </w:rPr>
          <w:t>части 2</w:t>
        </w:r>
      </w:hyperlink>
      <w:r>
        <w:t xml:space="preserve"> настоящей статьи не </w:t>
      </w:r>
      <w:proofErr w:type="gramStart"/>
      <w:r>
        <w:t>позднее</w:t>
      </w:r>
      <w:proofErr w:type="gramEnd"/>
      <w:r>
        <w:t xml:space="preserve"> чем за два месяца до истечения полномочий действующего председателя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4. При рассмотрении кандидатур, представленных на должность председателя Контрольно-счетной комиссии,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вправе запрашивать мнение председателя Контрольно-счетной палаты Липецкой области о соответствии представленных кандидатур квалификационным требованиям, установленным </w:t>
      </w:r>
      <w:hyperlink r:id="rId9" w:history="1">
        <w:r>
          <w:rPr>
            <w:color w:val="0000FF"/>
          </w:rPr>
          <w:t>статьей 6</w:t>
        </w:r>
      </w:hyperlink>
      <w:r>
        <w:t xml:space="preserve"> настоящего Положения.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5. Порядок рассмотрения кандидатур на должность председателя Контрольно-счетной комиссии устанавливается регламентом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6. Требования к кандидатуре на должность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председателя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На должность председателя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для председателя Контрольно-счетной комиссии - не менее пяти лет.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Гражданин Российской Федерации не может быть назначен на должность председателя Контрольно-счетной комиссии в случае: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наличия у него неснятой или непогашенной судимости;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Председатель Контрольно-счетной комиссии не может состоять в близком родстве (родители, супруги, дети, братья, сестры, а также братья, сестры, родители и дети супругов) с председателем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района, главой </w:t>
      </w:r>
      <w:proofErr w:type="spellStart"/>
      <w:r>
        <w:t>Добринского</w:t>
      </w:r>
      <w:proofErr w:type="spellEnd"/>
      <w: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5. </w:t>
      </w:r>
      <w:proofErr w:type="gramStart"/>
      <w:r>
        <w:t xml:space="preserve"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 xml:space="preserve">Статья 7. Гарантии статуса </w:t>
      </w:r>
      <w:proofErr w:type="gramStart"/>
      <w:r>
        <w:t>должностных</w:t>
      </w:r>
      <w:proofErr w:type="gramEnd"/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лиц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lastRenderedPageBreak/>
        <w:t>1. Председатель и специалисты Контрольно-счетной комиссии являются должностными лицами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действующим законодательством.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Должностные лица Контрольно-счетной комиссии обладают гарантиями профессиональной независимости.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5. Должностное лицо Контрольно-счетной комиссии досрочно освобождается от должности на основании решения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 в случае: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вступления в законную силу обвинительного приговора суда в отношении его;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4) подачи письменного заявления об отставке;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6) достижения установленного в соответствии с федеральным законом предельного возраста пребывания в должности;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7) выявления обстоятельств, предусмотренных </w:t>
      </w:r>
      <w:hyperlink r:id="rId10" w:history="1">
        <w:r>
          <w:rPr>
            <w:color w:val="0000FF"/>
          </w:rPr>
          <w:t>частями 2</w:t>
        </w:r>
      </w:hyperlink>
      <w:r>
        <w:t xml:space="preserve"> - </w:t>
      </w:r>
      <w:hyperlink r:id="rId11" w:history="1">
        <w:r>
          <w:rPr>
            <w:color w:val="0000FF"/>
          </w:rPr>
          <w:t>3 статьи 6</w:t>
        </w:r>
      </w:hyperlink>
      <w:r>
        <w:t xml:space="preserve"> настоящего Положения.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8. Полномочия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Контрольно-счетная комиссия осуществляет следующие полномочия: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2) экспертиза проектов бюджета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3) внешняя проверка годового отчета об исполнении бюджета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10)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11) осуществление полномочий внешнего муниципального финансового контроля в </w:t>
      </w:r>
      <w:r>
        <w:lastRenderedPageBreak/>
        <w:t>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13) 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14) мониторинг исполнения бюджета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15) анализ социально-экономической ситуации в муниципальном образовании;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16) содействие организации внутреннего финансового контроля в исполнительных органах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17) участие в пределах полномочий в мероприятиях, направленных на противодействие коррупции;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18) иные полномочия в сфере внешнего муниципального финансового контроля, установленные федеральными законами, законами Липецкой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и нормативными правовыми актами представительного органа района.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Внешний финансовый контроль осуществляется Контрольно-счетной комиссией: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9. Формы осуществления Контрольно-счетной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комиссией внешнего муниципального финансового контроля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 xml:space="preserve">Статья 10. Стандарты </w:t>
      </w:r>
      <w:proofErr w:type="gramStart"/>
      <w:r>
        <w:t>внешнего</w:t>
      </w:r>
      <w:proofErr w:type="gramEnd"/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муниципального финансового контроля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Разработка стандартов внешнего муниципального финансового контроля осуществляется Контрольно-счетной комиссией: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Липецкой области;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Липецкой области.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11. Планирование деятельности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8863CC" w:rsidRPr="00A35FED" w:rsidRDefault="008863CC" w:rsidP="008863CC">
      <w:pPr>
        <w:pStyle w:val="ConsPlusNormal"/>
        <w:ind w:firstLine="540"/>
        <w:jc w:val="both"/>
        <w:outlineLvl w:val="1"/>
        <w:rPr>
          <w:color w:val="FF0000"/>
        </w:rPr>
      </w:pPr>
      <w:r>
        <w:t xml:space="preserve">2. План работы Контрольно-счетной комиссии утверждается </w:t>
      </w:r>
      <w:r w:rsidRPr="00A35FED">
        <w:rPr>
          <w:color w:val="FF0000"/>
        </w:rPr>
        <w:t xml:space="preserve">в срок до 30 декабря года, </w:t>
      </w:r>
      <w:r w:rsidRPr="00A35FED">
        <w:rPr>
          <w:color w:val="FF0000"/>
        </w:rPr>
        <w:lastRenderedPageBreak/>
        <w:t xml:space="preserve">предшествующего </w:t>
      </w:r>
      <w:proofErr w:type="gramStart"/>
      <w:r w:rsidRPr="00A35FED">
        <w:rPr>
          <w:color w:val="FF0000"/>
        </w:rPr>
        <w:t>планируемому</w:t>
      </w:r>
      <w:proofErr w:type="gramEnd"/>
      <w:r w:rsidRPr="00A35FED">
        <w:rPr>
          <w:color w:val="FF0000"/>
        </w:rPr>
        <w:t>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Обязательному включению в планы работы Контрольно-счетной комиссии подлежат поручения представительного органа муниципального образования, предложения и запросы главы муниципального образования, направленные в Контрольно-счетную комиссию </w:t>
      </w:r>
      <w:r w:rsidRPr="00A35FED">
        <w:rPr>
          <w:color w:val="FF0000"/>
        </w:rPr>
        <w:t>до 15 декабря года</w:t>
      </w:r>
      <w:r>
        <w:t>, предшествующего планируемому.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4. Предложения представительного органа муниципального образования, главы муниципального образования по изменению плана работы Контрольно-счетной комиссии рассматриваются Контрольно-счетной комиссией в </w:t>
      </w:r>
      <w:r w:rsidRPr="00A35FED">
        <w:rPr>
          <w:color w:val="FF0000"/>
        </w:rPr>
        <w:t>10-дневный срок со дня поступления</w:t>
      </w:r>
      <w:r>
        <w:t>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12. Регламент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13. Обязательность исполнения требований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должностных лиц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действующим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14. Полномочия председателя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 по организации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деятельности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Председатель Контрольно-счетной комиссии: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осуществляет общее руководство деятельностью Контрольно-счетной комиссии;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2) утверждает Регламент Контрольно-счетной комиссии;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3) утверждает планы работы Контрольно-счетной комиссии и изменения к ним;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4) утверждает годовой отчет о деятельности Контрольно-счетной комиссии;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5) утверждает стандарты внешнего муниципального финансового контроля;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7) может являться руководителем контрольных и экспертно-аналитических мероприятий;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8)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9) представляет Контрольно-счетную комиссию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10) осуществляет полномочия по найму и увольнению работников аппарата Контрольно-счетной комиссии;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11) издает правовые акты (распоряжения) по вопросам организации деятельности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15. Права, обязанности и ответственность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должностных лиц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</w:t>
      </w:r>
      <w:r>
        <w:lastRenderedPageBreak/>
        <w:t>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8) знакомиться с технической документацией к электронным базам данных;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действующим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6. Председатель Контрольно-счетной комиссии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16. Представление информации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Проверяемые органы и организации в установленные действующим законодательством сроки обязаны представлять по запросам Контрольно-счетной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>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</w:t>
      </w:r>
      <w:proofErr w:type="gramStart"/>
      <w: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</w:t>
      </w:r>
      <w:r>
        <w:lastRenderedPageBreak/>
        <w:t>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комиссию в течение 10 рабочих дней со дня принятия.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Финансовый орган муниципального образования направляет в Контрольно-счетную комиссию бюджетную отчетность муниципального образования, утвержденную сводную бюджетную роспись, кассовый план и изменения к ним.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Главные администраторы бюджетных средств муниципального образования направляют в Контрольно-счетную комиссию сводную бюджетную отчетность.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6. Органы администрации муниципального образования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17. Представления и предписания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t xml:space="preserve"> и предупреждению нарушений.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Представление Контрольно-счетной комиссии подписывается ее председателем.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комиссии контрольных мероприятий, а также в случаях несоблюдения сроков рассмотрения представлений 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6. Предписание Контрольно-счетной комиссии подписывается ее председателем.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7. Предписание Контрольно-счетной комиссии должно быть исполнено в установленные в нем сроки.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действующим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18. Гарантии прав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проверяемых органов и организаций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действующим законодательством, прилагаются к актам и в дальнейшем являются их неотъемлемой частью. 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представительный орган муниципального образования. Подача заявления не приостанавливает действия предписания.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 xml:space="preserve">Статья 19. Взаимодействие </w:t>
      </w:r>
      <w:proofErr w:type="gramStart"/>
      <w:r>
        <w:t>Контрольно-счетной</w:t>
      </w:r>
      <w:proofErr w:type="gramEnd"/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комиссии с государственными и муниципальными органами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4.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6. Контрольно-счетная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20. Обеспечение доступа к информации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о деятельности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2. Контрольно-счетная комиссия ежегодно представляет отчет о своей деятельности представительному органу муниципального образования.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21. Финансовое обеспечение деятельности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8863CC" w:rsidRPr="00B74A93" w:rsidRDefault="008863CC" w:rsidP="008863CC">
      <w:pPr>
        <w:pStyle w:val="ConsPlusNormal"/>
        <w:ind w:firstLine="540"/>
        <w:jc w:val="both"/>
        <w:outlineLvl w:val="1"/>
        <w:rPr>
          <w:color w:val="FF0000"/>
        </w:rPr>
      </w:pPr>
      <w:r w:rsidRPr="00B74A93">
        <w:rPr>
          <w:color w:val="FF0000"/>
        </w:rPr>
        <w:t>2. Расходы на обеспечение деятельности Контрольно-счетной комиссии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22. Материальное и социальное обеспечение</w:t>
      </w: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работников Контрольно-счетной комиссии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1. Председателю Контрольно-счетной комиссии и работникам аппарата устанавливается денежное вознаграждение и иные выплаты в соответствии с действующим законодательством.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lastRenderedPageBreak/>
        <w:t>2. Председателю Контрольно-счетной комиссии и работникам аппарата Контрольно-счетной комиссии,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0"/>
        <w:jc w:val="center"/>
        <w:outlineLvl w:val="1"/>
      </w:pPr>
      <w:r>
        <w:t>Статья 23. Вступление в силу настоящего Положения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pStyle w:val="ConsPlusNormal"/>
        <w:ind w:firstLine="540"/>
        <w:jc w:val="both"/>
        <w:outlineLvl w:val="1"/>
      </w:pPr>
      <w:r>
        <w:t>Настоящее Положение вступает в силу со дня его официального опубликования.</w:t>
      </w:r>
    </w:p>
    <w:p w:rsidR="008863CC" w:rsidRDefault="008863CC" w:rsidP="008863CC">
      <w:pPr>
        <w:pStyle w:val="ConsPlusNormal"/>
        <w:ind w:firstLine="540"/>
        <w:jc w:val="both"/>
        <w:outlineLvl w:val="1"/>
      </w:pPr>
    </w:p>
    <w:p w:rsidR="008863CC" w:rsidRDefault="008863CC" w:rsidP="008863CC">
      <w:pPr>
        <w:jc w:val="both"/>
      </w:pPr>
    </w:p>
    <w:p w:rsidR="008863CC" w:rsidRPr="00F344FC" w:rsidRDefault="008863CC" w:rsidP="008863CC">
      <w:pPr>
        <w:pStyle w:val="9"/>
        <w:rPr>
          <w:rFonts w:ascii="Arial" w:hAnsi="Arial" w:cs="Arial"/>
          <w:sz w:val="20"/>
          <w:szCs w:val="20"/>
        </w:rPr>
      </w:pPr>
      <w:r w:rsidRPr="00F344FC">
        <w:rPr>
          <w:rFonts w:ascii="Arial" w:hAnsi="Arial" w:cs="Arial"/>
          <w:sz w:val="20"/>
          <w:szCs w:val="20"/>
        </w:rPr>
        <w:t xml:space="preserve">Глава </w:t>
      </w:r>
    </w:p>
    <w:p w:rsidR="008863CC" w:rsidRPr="00F344FC" w:rsidRDefault="008863CC" w:rsidP="008863CC">
      <w:pPr>
        <w:pStyle w:val="9"/>
        <w:rPr>
          <w:rFonts w:ascii="Arial" w:hAnsi="Arial" w:cs="Arial"/>
          <w:sz w:val="20"/>
          <w:szCs w:val="20"/>
        </w:rPr>
      </w:pPr>
      <w:proofErr w:type="spellStart"/>
      <w:r w:rsidRPr="00F344FC">
        <w:rPr>
          <w:rFonts w:ascii="Arial" w:hAnsi="Arial" w:cs="Arial"/>
          <w:sz w:val="20"/>
          <w:szCs w:val="20"/>
        </w:rPr>
        <w:t>Добринского</w:t>
      </w:r>
      <w:proofErr w:type="spellEnd"/>
      <w:r w:rsidRPr="00F344FC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F344FC">
        <w:rPr>
          <w:rFonts w:ascii="Arial" w:hAnsi="Arial" w:cs="Arial"/>
          <w:sz w:val="20"/>
          <w:szCs w:val="20"/>
        </w:rPr>
        <w:tab/>
        <w:t xml:space="preserve">        </w:t>
      </w:r>
      <w:r w:rsidRPr="00F344FC">
        <w:rPr>
          <w:rFonts w:ascii="Arial" w:hAnsi="Arial" w:cs="Arial"/>
          <w:sz w:val="20"/>
          <w:szCs w:val="20"/>
        </w:rPr>
        <w:tab/>
        <w:t xml:space="preserve">                  </w:t>
      </w:r>
      <w:r w:rsidRPr="00F344FC">
        <w:rPr>
          <w:rFonts w:ascii="Arial" w:hAnsi="Arial" w:cs="Arial"/>
          <w:sz w:val="20"/>
          <w:szCs w:val="20"/>
        </w:rPr>
        <w:tab/>
      </w:r>
      <w:r w:rsidRPr="00F344FC">
        <w:rPr>
          <w:rFonts w:ascii="Arial" w:hAnsi="Arial" w:cs="Arial"/>
          <w:sz w:val="20"/>
          <w:szCs w:val="20"/>
        </w:rPr>
        <w:tab/>
      </w:r>
      <w:proofErr w:type="spellStart"/>
      <w:r w:rsidRPr="00F344FC">
        <w:rPr>
          <w:rFonts w:ascii="Arial" w:hAnsi="Arial" w:cs="Arial"/>
          <w:sz w:val="20"/>
          <w:szCs w:val="20"/>
        </w:rPr>
        <w:t>В.В.</w:t>
      </w:r>
      <w:proofErr w:type="gramStart"/>
      <w:r w:rsidRPr="00F344FC">
        <w:rPr>
          <w:rFonts w:ascii="Arial" w:hAnsi="Arial" w:cs="Arial"/>
          <w:sz w:val="20"/>
          <w:szCs w:val="20"/>
        </w:rPr>
        <w:t>Тонких</w:t>
      </w:r>
      <w:proofErr w:type="spellEnd"/>
      <w:proofErr w:type="gramEnd"/>
    </w:p>
    <w:p w:rsidR="008863CC" w:rsidRDefault="008863CC" w:rsidP="008863CC">
      <w:pPr>
        <w:jc w:val="both"/>
        <w:rPr>
          <w:b/>
          <w:bCs/>
          <w:sz w:val="28"/>
        </w:rPr>
      </w:pPr>
    </w:p>
    <w:p w:rsidR="008863CC" w:rsidRDefault="008863CC" w:rsidP="008863CC">
      <w:pPr>
        <w:jc w:val="both"/>
        <w:rPr>
          <w:b/>
          <w:bCs/>
          <w:sz w:val="28"/>
        </w:rPr>
      </w:pPr>
    </w:p>
    <w:p w:rsidR="008863CC" w:rsidRDefault="008863CC" w:rsidP="008863CC">
      <w:pPr>
        <w:jc w:val="both"/>
        <w:rPr>
          <w:b/>
          <w:bCs/>
          <w:sz w:val="28"/>
        </w:rPr>
      </w:pPr>
    </w:p>
    <w:p w:rsidR="0005044F" w:rsidRDefault="0005044F"/>
    <w:p w:rsidR="00F344FC" w:rsidRDefault="00F344FC"/>
    <w:sectPr w:rsidR="00F344FC" w:rsidSect="00F344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C"/>
    <w:rsid w:val="0005044F"/>
    <w:rsid w:val="002E15D8"/>
    <w:rsid w:val="008863CC"/>
    <w:rsid w:val="00C82AAB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863CC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8863CC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63C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863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8863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86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63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4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F344FC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344F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344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863CC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8863CC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63C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863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8863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86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63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4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F344FC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344F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344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19E0BCB2C8E3604E6C4F8B71B07CA8C18266358ACFB9B817F8F3742119B1DCC4A71B1D8590066A3BB2637MDM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19E0BCB2C8E3604E6C4F8B71B07CA8C1826635FA8F59B847F8F3742119B1DCC4A71B1D8590066A3BE2637M5M" TargetMode="External"/><Relationship Id="rId12" Type="http://schemas.openxmlformats.org/officeDocument/2006/relationships/hyperlink" Target="consultantplus://offline/ref=8C019E0BCB2C8E3604E6C4F8B71B07CA8C1826635FA8F59B847F8F3742119B1D3CM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19E0BCB2C8E3604E6DAF5A1775BC58E1B7F6B57F8AFCB8A75DA36MFM" TargetMode="External"/><Relationship Id="rId11" Type="http://schemas.openxmlformats.org/officeDocument/2006/relationships/hyperlink" Target="consultantplus://offline/ref=8C019E0BCB2C8E3604E6C4F8B71B07CA8C18266358ACFB9B817F8F3742119B1DCC4A71B1D8590066A3BB2137MA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019E0BCB2C8E3604E6C4F8B71B07CA8C18266358ACFB9B817F8F3742119B1DCC4A71B1D8590066A3BB2137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19E0BCB2C8E3604E6C4F8B71B07CA8C18266358ACFB9B817F8F3742119B1DCC4A71B1D8590066A3BB2637M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2015-01-16T07:42:00Z</dcterms:created>
  <dcterms:modified xsi:type="dcterms:W3CDTF">2015-01-16T07:42:00Z</dcterms:modified>
</cp:coreProperties>
</file>