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ДОБРИНСКОГО МУНИЦИПАЛЬНОГО РАЙОНА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2011 г. N 1185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МУНИЦИПАЛЬНОЙ ЦЕЛЕВОЙ ПРОГРАММЫ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"ДОСТУПНАЯ СРЕДА НА 2012 - 2015 ГОДЫ"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формирования условий для беспрепятственного доступа инвалидов и других маломобильных групп населения к объектам и услугам и реализации государственной политики в сфере социальной защиты, в соответствии с </w:t>
      </w:r>
      <w:hyperlink r:id="rId5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Добринского</w:t>
      </w:r>
      <w:proofErr w:type="spellEnd"/>
      <w:r>
        <w:rPr>
          <w:rFonts w:ascii="Calibri" w:hAnsi="Calibri" w:cs="Calibri"/>
        </w:rPr>
        <w:t xml:space="preserve"> муниципального района Липецкой области администрация </w:t>
      </w:r>
      <w:proofErr w:type="spellStart"/>
      <w:r>
        <w:rPr>
          <w:rFonts w:ascii="Calibri" w:hAnsi="Calibri" w:cs="Calibri"/>
        </w:rPr>
        <w:t>Добринского</w:t>
      </w:r>
      <w:proofErr w:type="spellEnd"/>
      <w:r>
        <w:rPr>
          <w:rFonts w:ascii="Calibri" w:hAnsi="Calibri" w:cs="Calibri"/>
        </w:rPr>
        <w:t xml:space="preserve"> муниципального района постановляет: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муниципальную целевую </w:t>
      </w:r>
      <w:hyperlink w:anchor="Par30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"Доступная среда на 2012 - 2015 годы" (приложение).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опубликовать в районной газете "</w:t>
      </w:r>
      <w:proofErr w:type="spellStart"/>
      <w:r>
        <w:rPr>
          <w:rFonts w:ascii="Calibri" w:hAnsi="Calibri" w:cs="Calibri"/>
        </w:rPr>
        <w:t>Добринские</w:t>
      </w:r>
      <w:proofErr w:type="spellEnd"/>
      <w:r>
        <w:rPr>
          <w:rFonts w:ascii="Calibri" w:hAnsi="Calibri" w:cs="Calibri"/>
        </w:rPr>
        <w:t xml:space="preserve"> вести".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с момента официального опубликования в районной газете "</w:t>
      </w:r>
      <w:proofErr w:type="spellStart"/>
      <w:r>
        <w:rPr>
          <w:rFonts w:ascii="Calibri" w:hAnsi="Calibri" w:cs="Calibri"/>
        </w:rPr>
        <w:t>Добринские</w:t>
      </w:r>
      <w:proofErr w:type="spellEnd"/>
      <w:r>
        <w:rPr>
          <w:rFonts w:ascii="Calibri" w:hAnsi="Calibri" w:cs="Calibri"/>
        </w:rPr>
        <w:t xml:space="preserve"> вести".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>
        <w:rPr>
          <w:rFonts w:ascii="Calibri" w:hAnsi="Calibri" w:cs="Calibri"/>
        </w:rPr>
        <w:t>Требунских</w:t>
      </w:r>
      <w:proofErr w:type="spellEnd"/>
      <w:r>
        <w:rPr>
          <w:rFonts w:ascii="Calibri" w:hAnsi="Calibri" w:cs="Calibri"/>
        </w:rPr>
        <w:t xml:space="preserve"> И.А.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главы администрации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А.Т.МИХАЛИН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Утверждена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spellStart"/>
      <w:r>
        <w:rPr>
          <w:rFonts w:ascii="Calibri" w:hAnsi="Calibri" w:cs="Calibri"/>
        </w:rPr>
        <w:t>Добринского</w:t>
      </w:r>
      <w:proofErr w:type="spellEnd"/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2011 г. N 1185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МУНИЦИПАЛЬНАЯ ЦЕЛЕВАЯ ПРОГРАММА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"ДОСТУПНАЯ СРЕДА НА 2012 - 2015 ГОДЫ"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Раздел 1. ПАСПОРТ МУНИЦИПАЛЬНОЙ ЦЕЛЕВОЙ ПРОГРАММЫ "</w:t>
      </w:r>
      <w:proofErr w:type="gramStart"/>
      <w:r>
        <w:rPr>
          <w:rFonts w:ascii="Calibri" w:hAnsi="Calibri" w:cs="Calibri"/>
        </w:rPr>
        <w:t>ДОСТУПНАЯ</w:t>
      </w:r>
      <w:proofErr w:type="gramEnd"/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СРЕДА НА 2012 - 2015 ГОДЫ"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Программы │Муниципальная целевая программа "Доступная среда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│на 2012 - 2015 годы" (далее - Программа)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│Основание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│Федеральный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24.11.1995 N 181-ФЗ "О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│разработки Программы   │социальной защите инвалидов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Российской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│Федерации",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│Российской Федерации от 17.03.2011 N 175 "О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│государственной программе Российской Федерации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│"Доступная среда" на 2011 - 2012 годы"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│Муниципальный заказчик │Администрация </w:t>
      </w:r>
      <w:proofErr w:type="spellStart"/>
      <w:r>
        <w:rPr>
          <w:rFonts w:ascii="Courier New" w:hAnsi="Courier New" w:cs="Courier New"/>
          <w:sz w:val="20"/>
          <w:szCs w:val="20"/>
        </w:rPr>
        <w:t>Добринского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района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│Программы              │Липецкой области Российской Федерации (далее -   │</w:t>
      </w:r>
      <w:proofErr w:type="gramEnd"/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│администрация района)                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│Разработчик Программы  │Отдел социальной защиты населения администрации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Добринского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района </w:t>
      </w:r>
      <w:proofErr w:type="gramStart"/>
      <w:r>
        <w:rPr>
          <w:rFonts w:ascii="Courier New" w:hAnsi="Courier New" w:cs="Courier New"/>
          <w:sz w:val="20"/>
          <w:szCs w:val="20"/>
        </w:rPr>
        <w:t>Липецкой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│области Российской Федерации         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│Цель Программы         │Повышение качества жизни инвалидов и 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│маломобильных категорий граждан и обеспечение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│интеграции их в общество             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│Задачи Программы       │1) Оценка состояния доступности </w:t>
      </w:r>
      <w:proofErr w:type="gramStart"/>
      <w:r>
        <w:rPr>
          <w:rFonts w:ascii="Courier New" w:hAnsi="Courier New" w:cs="Courier New"/>
          <w:sz w:val="20"/>
          <w:szCs w:val="20"/>
        </w:rPr>
        <w:t>первоочередных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│объектов социальной сферы в целях доступности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│инвалидов и маломобильных категорий граждан;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│2) повышение уровня доступности </w:t>
      </w:r>
      <w:proofErr w:type="gramStart"/>
      <w:r>
        <w:rPr>
          <w:rFonts w:ascii="Courier New" w:hAnsi="Courier New" w:cs="Courier New"/>
          <w:sz w:val="20"/>
          <w:szCs w:val="20"/>
        </w:rPr>
        <w:t>первоочередных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│объектов социальной сферы;           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│3) содействие интеграции детей-инвалидов и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│маломобильных категорий граждан в общество;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│4) обеспечение доступа инвалидов и маломобильных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│категорий граждан к информации       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32181" w:rsidRDefault="00D321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sz w:val="20"/>
          <w:szCs w:val="20"/>
        </w:rPr>
        <w:t>: примечание.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официальном  тексте  документа, видимо, допущена опечатка: имеется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виду  "-  основные  усилия  будут...",  а не "- основание усилия будут...";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имеется  в виду "...лиц с ограничениями жизнедеятельности.", а не "...лиц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ограниченными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жизнедеятельности.".</w:t>
      </w:r>
    </w:p>
    <w:p w:rsidR="00D32181" w:rsidRDefault="00D321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│Сроки и этапы          │Программа разработана на срок с 2012 по 2015 год;│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│реализации Программы   │- первый этап - 2012 год;            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второй этап - 2013 - 2015 годы.    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│На I этапе - в 2012 году;            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│- основание усилия будут концентрироваться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│определении первоочередных объектов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│сферы в целях доступности и их паспортизации.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│На II этапе - в 2013 - 2015 годах:   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│- основные усилия будут концентрироваться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проведении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работ по обеспечению дооборудования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│первоочередных объектов (учреждений)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│сферы для инвалидов и других лиц с </w:t>
      </w:r>
      <w:proofErr w:type="gramStart"/>
      <w:r>
        <w:rPr>
          <w:rFonts w:ascii="Courier New" w:hAnsi="Courier New" w:cs="Courier New"/>
          <w:sz w:val="20"/>
          <w:szCs w:val="20"/>
        </w:rPr>
        <w:t>ограниченными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│жизнедеятельности.                   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│На каждом этапе ежегодно будет проводиться оценка│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│эффективности реализации мероприятий Программы.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│На основе анализа достигнутых результатов,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│эффективности реализации Программы будут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│сформированы предложения по актуальности принятия│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│очередной программы, будут планироваться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│последующие этапы совершенствования системы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│социальной интеграции в общество инвалидов и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│других лиц с ограничениями жизнедеятельности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│Исполнители </w:t>
      </w:r>
      <w:proofErr w:type="gramStart"/>
      <w:r>
        <w:rPr>
          <w:rFonts w:ascii="Courier New" w:hAnsi="Courier New" w:cs="Courier New"/>
          <w:sz w:val="20"/>
          <w:szCs w:val="20"/>
        </w:rPr>
        <w:t>программных</w:t>
      </w:r>
      <w:proofErr w:type="gramEnd"/>
      <w:r>
        <w:rPr>
          <w:rFonts w:ascii="Courier New" w:hAnsi="Courier New" w:cs="Courier New"/>
          <w:sz w:val="20"/>
          <w:szCs w:val="20"/>
        </w:rPr>
        <w:t>│- Отдел социальной защиты населения администрации│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│мероприятий            │муниципального района;               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отдел образования администрации муниципального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│района;                              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отдел строительства, архитектуры и ЖКХ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│администрации муниципального района; 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МУЗ "</w:t>
      </w:r>
      <w:proofErr w:type="spellStart"/>
      <w:r>
        <w:rPr>
          <w:rFonts w:ascii="Courier New" w:hAnsi="Courier New" w:cs="Courier New"/>
          <w:sz w:val="20"/>
          <w:szCs w:val="20"/>
        </w:rPr>
        <w:t>Добринская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ЦРБ";              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отдел молодежной политики, физической культуры,│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│спорта и туризма администрации муниципального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│района;                              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│- органы местного самоуправления и по связям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│общественностью администрации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│района;                              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│- отдел культуры администрации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│района;                              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ОКУ "</w:t>
      </w:r>
      <w:proofErr w:type="spellStart"/>
      <w:r>
        <w:rPr>
          <w:rFonts w:ascii="Courier New" w:hAnsi="Courier New" w:cs="Courier New"/>
          <w:sz w:val="20"/>
          <w:szCs w:val="20"/>
        </w:rPr>
        <w:t>Добринский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районный центр занятости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│населения";                          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ОАО "</w:t>
      </w:r>
      <w:proofErr w:type="spellStart"/>
      <w:r>
        <w:rPr>
          <w:rFonts w:ascii="Courier New" w:hAnsi="Courier New" w:cs="Courier New"/>
          <w:sz w:val="20"/>
          <w:szCs w:val="20"/>
        </w:rPr>
        <w:t>Добринское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автотранспортное предприятие"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│Объемы и источники     │Прогнозируемый объем финансирования мероприятий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Программы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2012 - 2015 годах из районного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│бюджета составляет 1313,1 тыс. рублей, в том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годам:                      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│2012 год - 123,0 тыс. руб.;          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│2013 год - 326,0 тыс. руб.;          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│2014 год - 511,0 тыс. руб.;          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│2015 год - 353,1 тыс. руб.           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│Объем финансирования Программы за счет средств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│районного бюджета ежегодно уточняется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│установленном 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процессе исполнения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│районного бюджета и при формировании районного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│бюджета на очередной финансовый год  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│Прогноз ожидаемых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результате реализации Программы ожидается: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│социально-экономических│- паспортизация первоочередных объектов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│результатов реализации │социальной сферы в целях доступности инвалидов и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     │маломобильных категорий граждан;     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│- дооборудование объектов (учреждений)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│сферы для инвалидов и других лиц с ограничениями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│жизнедеятельности;                   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увеличение численности инвалидов и других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│маломобильных групп населения, систематически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занимающихся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физической культурой и спортом;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интеграция детей-инвалидов и маломобильных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│граждан в общество                   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Контроль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исполнением│Контроль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 исполнением Программы осуществляется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│Программы              │администрацией </w:t>
      </w:r>
      <w:proofErr w:type="spellStart"/>
      <w:r>
        <w:rPr>
          <w:rFonts w:ascii="Courier New" w:hAnsi="Courier New" w:cs="Courier New"/>
          <w:sz w:val="20"/>
          <w:szCs w:val="20"/>
        </w:rPr>
        <w:t>Добринского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района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│в соответствии с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Добринского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района от 29.12.2007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│N 1054 "Порядок разработки, утверждения и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│реализации районных целевых программ"            │</w:t>
      </w:r>
    </w:p>
    <w:p w:rsidR="00D32181" w:rsidRDefault="00D321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53"/>
      <w:bookmarkEnd w:id="4"/>
      <w:r>
        <w:rPr>
          <w:rFonts w:ascii="Calibri" w:hAnsi="Calibri" w:cs="Calibri"/>
        </w:rPr>
        <w:t>2. ОБЩИЕ ПОЛОЖЕНИЯ И ОБОСНОВАНИЕ ПРОГРАММЫ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Технико-экономическое обоснование Программы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разработки муниципальной долгосрочной целевой программы "Доступная среда на 2012 - 2015 годы" является Федеральный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24.11.1995 N 181-ФЗ "О социальной защите инвалидов в Российской Федерации".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Принятый в 1995 году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 социальной защите инвалидов в Российской Федерации" определил государственную политику в области социальной защиты инвалидов в России,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в соответствии с принципами и нормами международного права.</w:t>
      </w:r>
      <w:proofErr w:type="gramEnd"/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современных социально-экономических условиях одним из важнейших направлений социальной защиты инвалидов является создание для них, а также для других маломобильных групп населения (лица пожилого и преклонного возраста, беременные женщины, лица, получившие травмы различных локализаций, лица с грудными и малолетними детьми и пр.) доступной среды жизнедеятельности.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Масштабность проблем инвалидов и необходимость их приоритетного решения обусловлена устойчивой тенденцией к увеличению доли инвалидов в структуре населения. По оценкам экспертов ООН, инвалиды составляют в среднем 10 процентов населения. В России отмечается увеличение как абсолютного, так и относительного показателя инвалидности, что </w:t>
      </w:r>
      <w:r>
        <w:rPr>
          <w:rFonts w:ascii="Calibri" w:hAnsi="Calibri" w:cs="Calibri"/>
        </w:rPr>
        <w:lastRenderedPageBreak/>
        <w:t>происходит на фоне уменьшения численности населения страны и ее отдельных регионов, увеличения заболеваемости и смертности.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</w:t>
      </w:r>
      <w:proofErr w:type="gramStart"/>
      <w:r>
        <w:rPr>
          <w:rFonts w:ascii="Calibri" w:hAnsi="Calibri" w:cs="Calibri"/>
        </w:rPr>
        <w:t>последние</w:t>
      </w:r>
      <w:proofErr w:type="gramEnd"/>
      <w:r>
        <w:rPr>
          <w:rFonts w:ascii="Calibri" w:hAnsi="Calibri" w:cs="Calibri"/>
        </w:rPr>
        <w:t xml:space="preserve"> 15 лет общее число инвалидов в стране увеличилось с 6,3 до 11,4 миллиона человек. Ежегодно признаются инвалидами около 3,5 миллиона человек, в том числе более одного миллиона - впервые, из них почти половину составляют лица трудоспособного возраста.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Аналогичная тенденция по увеличению численности инвалидов характерна и для </w:t>
      </w:r>
      <w:proofErr w:type="spellStart"/>
      <w:r>
        <w:rPr>
          <w:rFonts w:ascii="Calibri" w:hAnsi="Calibri" w:cs="Calibri"/>
        </w:rPr>
        <w:t>Добринского</w:t>
      </w:r>
      <w:proofErr w:type="spellEnd"/>
      <w:r>
        <w:rPr>
          <w:rFonts w:ascii="Calibri" w:hAnsi="Calibri" w:cs="Calibri"/>
        </w:rPr>
        <w:t xml:space="preserve"> района. По состоянию на 1 сентября 2011 года в районе проживают 3837 инвалидов, из них 129 детей.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области на протяжении многих лет показатель полной реабилитации не превышает 3 процента, то есть из 100 инвалидов только у трех улучшается состояние здоровья и возможность возвращения к трудовой деятельности (в среднем по Российской Федерации показатель реабилитации - 2,3 процента).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Проведенные социологические исследования показали, что уровень жизни инвалидов значительно ниже, чем в среднем у населения, а многочисленные их проблемы решаются недостаточно эффективно.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Низкий уровень и качество жизни у большинства инвалидов сопровождаются серьезными личностными проблемами, обусловленными </w:t>
      </w:r>
      <w:proofErr w:type="spellStart"/>
      <w:r>
        <w:rPr>
          <w:rFonts w:ascii="Calibri" w:hAnsi="Calibri" w:cs="Calibri"/>
        </w:rPr>
        <w:t>дезадаптивностью</w:t>
      </w:r>
      <w:proofErr w:type="spellEnd"/>
      <w:r>
        <w:rPr>
          <w:rFonts w:ascii="Calibri" w:hAnsi="Calibri" w:cs="Calibri"/>
        </w:rPr>
        <w:t xml:space="preserve"> этих людей в быстро меняющейся социокультурной среде. Недоступность в настоящее время многих объектов социальной инфраструктуры в районе для беспрепятственного доступа инвалидов и других маломобильных групп населения является значительным препятствием для реализации их гражданских прав и свобод.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большинства инвалидов развита установка, в результате которой человек уходит в болезнь, надеется на пенсионное и льготное содержание его государством, не ориентирован на восстановление трудоспособности и не предпринимает активных шагов по восстановлению своего социального статуса.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современных условиях, когда политическая, экономическая, социальная жизнь продолжает претерпевать коренную трансформацию, решение проблем инвалидности, улучшение условий жизни инвалидов как одной из самых социально уязвимых категорий населения входит в число приоритетных задач, которые определены в ежегодных посланиях Президента Российской Федерации Федеральному Собранию Российской Федерации.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Это свидетельствует о масштабности проблемы инвалидности и определяет необходимость проведения в </w:t>
      </w:r>
      <w:proofErr w:type="spellStart"/>
      <w:r>
        <w:rPr>
          <w:rFonts w:ascii="Calibri" w:hAnsi="Calibri" w:cs="Calibri"/>
        </w:rPr>
        <w:t>Добринском</w:t>
      </w:r>
      <w:proofErr w:type="spellEnd"/>
      <w:r>
        <w:rPr>
          <w:rFonts w:ascii="Calibri" w:hAnsi="Calibri" w:cs="Calibri"/>
        </w:rPr>
        <w:t xml:space="preserve"> муниципальном районе комплекса мероприятий по созданию системы социальной защиты инвалидов, обеспечивающей повышение их жизненного уровня и интеграцию в общество.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Сложившаяся на сегодня инфраструктура населенных пунктов района не в полной мере приспособлена для жизнедеятельности инвалидов, ограничивает их возможности передвижения и препятствует их активному участию во всех сферах жизни общества.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муниципальной долгосрочной целевой программы "Доступная среда на 2012 - 2015 годы" позволит продолжить работу по комплексному решению проблем по созданию условий для формирования доступной среды жизнедеятельности, будут создаваться благоприятные условия для жизни, профессиональной и творческой самореализации инвалидов и других маломобильных групп населения. Реализация мероприятий Программы будет способствовать интеграции инвалидов в жизнь общества, содействовать повышению уровня их жизни, возвращению к профессиональной, общественной и бытовой деятельности.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комплексного решения проблем, связанных с инвалидностью, программно-целевым методом обусловлена рядом объективных причин, в том числе: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масштабностью, сложностью и многообразием проблем реабилитации инвалидов и интеграции их в общество, что предполагает разработку и осуществление комплекса программных мероприятий, взаимоувязанных по конкретным целям, ресурсам, срокам реализации и исполнителям;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потребностью в координации усилий исполнительных органов государственной власти.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Цели и задачи Программы, сроки и этапы ее реализации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Повышение качества жизни инвалидов и маломобильных категорий граждан и обеспечение интеграции их в общество.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названной цели необходимо решить следующие задачи: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доступа инвалидов и маломобильных категорий граждан к информации;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оценка состояния доступности первоочередных объектов социальной сферы в целях доступности инвалидов и маломобильных категорий граждан;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уровня доступности первоочередных объектов социальной сферы и услуг в приоритетных сферах жизнедеятельности инвалидов и других маломобильных групп населения;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содействие интеграции детей-инвалидов и маломобильных граждан в общество.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будет способствовать повышению качества жизни инвалидов, социальной адаптации и интеграции их в общество.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Цели, задачи и мероприятия Программы разработаны в соответствии с приоритетами социальной политики в Липецкой области и согласно действующему законодательству.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реализации Программы - 4 года: с 2012 по 2015 год включительно.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предлагается реализовать в два этапа: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этап - 2012 г.;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этап - 2013 - 2015 гг.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усилия будут концентрироваться на определении первоочередных объектов социальной сферы в целях доступности и их паспортизации.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проведении работ по обеспечению дооборудования первоочередных объектов (учреждений) социальной сферы для инвалидов и других лиц с ограничениями жизнедеятельности.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Ежегодно будет проводиться оценка эффективности реализации мероприятий Программы. На основе </w:t>
      </w:r>
      <w:proofErr w:type="gramStart"/>
      <w:r>
        <w:rPr>
          <w:rFonts w:ascii="Calibri" w:hAnsi="Calibri" w:cs="Calibri"/>
        </w:rPr>
        <w:t>анализа достигнутых результатов эффективности реализации Программы</w:t>
      </w:r>
      <w:proofErr w:type="gramEnd"/>
      <w:r>
        <w:rPr>
          <w:rFonts w:ascii="Calibri" w:hAnsi="Calibri" w:cs="Calibri"/>
        </w:rPr>
        <w:t xml:space="preserve"> будут сформированы предложения по актуальности принятия очередной программы, будут планироваться последующие этапы совершенствования системы социальной интеграции в общество инвалидов и других лиц с ограничениями жизнедеятельности.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Мероприятия по реализации Программы и ее ресурсное обеспечение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мероприятий Программы планируется осуществлять за счет средств районного бюджета. Общий объем финансирования мероприятий Программы в 2012 - 2015 гг. - 1313,1 тыс. руб. из районного бюджета, в том числе по годам: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2012 год - 123,0 тыс. руб.;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- 326,0 тыс. руб.;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- 511,0 тыс. руб.;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- 353,1 тыс. руб.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финансирования Программы за счет средств районного бюджета ежегодно уточняются в установленном порядке в процессе исполнения районного бюджета и при формировании районного бюджета на очередной финансовый год.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 реализации Программы включает меры, направленные на выполнение в полном объеме программных мероприятий, мониторинг и порядок корректировки объемов финансирования и сроков реализации, условия ее досрочного прекращения.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Правовую основу Программы составляют: </w:t>
      </w:r>
      <w:hyperlink r:id="rId12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24.11.1995 N 181-ФЗ "О социальной защите инвалидов в Российской Федерации" и другие нормативные правовые акты Российской Федерации, Липецкой области, регламентирующие вопросы поддержки инвалидов и создания доступной среды для инвалидов и других маломобильных групп населения, а также разработки целевых программ.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Цели, задачи и мероприятия Программы определены в соответствии с приоритетами социально-экономической политики Российской Федерации, Липецкой области и </w:t>
      </w:r>
      <w:proofErr w:type="spellStart"/>
      <w:r>
        <w:rPr>
          <w:rFonts w:ascii="Calibri" w:hAnsi="Calibri" w:cs="Calibri"/>
        </w:rPr>
        <w:t>Добринского</w:t>
      </w:r>
      <w:proofErr w:type="spellEnd"/>
      <w:r>
        <w:rPr>
          <w:rFonts w:ascii="Calibri" w:hAnsi="Calibri" w:cs="Calibri"/>
        </w:rPr>
        <w:t xml:space="preserve"> муниципального района.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Разработчики муниципальной долгосрочной целевой программы с учетом выделяемых финансовых средств ежегодно уточняют целевые показатели и затраты по программным мероприятиям и механизм реализации муниципальной долгосрочной целевой программы.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Прогноз ожидаемых социально-экономических результатов реализации Программы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Программы ожидается: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паспортизация первоочередных объектов социальной сферы в целях доступности инвалидов и маломобильных категорий граждан;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дооборудование объектов (учреждений) социальной сферы для инвалидов и других лиц с ограничениями жизнедеятельности;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увеличение численности инвалидов и других маломобильных групп населения, систематически занимающихся физической культурой и спортом;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интеграция детей-инвалидов и маломобильных граждан в общество.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Система организации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программных мероприятий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исполнители мероприятий Программы несут персональную ответственность за выполнение мероприятий Программы.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исполнители мероприятий Программы ежеквартально представляют разработчику-координатору Программы: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информацию об оценке эффективности реализации муниципальной долгосрочной целевой программы;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информацию о ходе выполнения мероприятий муниципальной долгосрочной целевой программы;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отчет об объемах финансирования муниципальной долгосрочной целевой программы.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отчетной информации прилагается пояснительная записка, отражающая: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состояние проблем, на решение которых была направлена муниципальная долгосрочная целевая программа;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достижение поставленных целей;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эффективность реализованных мероприятий.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Разработчик-координатор Программы обобщает полученные данные и направляет их в отдел экономики администрации </w:t>
      </w:r>
      <w:proofErr w:type="spellStart"/>
      <w:r>
        <w:rPr>
          <w:rFonts w:ascii="Calibri" w:hAnsi="Calibri" w:cs="Calibri"/>
        </w:rPr>
        <w:t>Добринского</w:t>
      </w:r>
      <w:proofErr w:type="spellEnd"/>
      <w:r>
        <w:rPr>
          <w:rFonts w:ascii="Calibri" w:hAnsi="Calibri" w:cs="Calibri"/>
        </w:rPr>
        <w:t xml:space="preserve"> муниципального района.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Корректировка муниципальной целевой программы осуществляется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принятия решений о разработке муниципальных целевых программ, их формирования и реализации, утвержденным постановлением администрации </w:t>
      </w:r>
      <w:proofErr w:type="spellStart"/>
      <w:r>
        <w:rPr>
          <w:rFonts w:ascii="Calibri" w:hAnsi="Calibri" w:cs="Calibri"/>
        </w:rPr>
        <w:t>Добринского</w:t>
      </w:r>
      <w:proofErr w:type="spellEnd"/>
      <w:r>
        <w:rPr>
          <w:rFonts w:ascii="Calibri" w:hAnsi="Calibri" w:cs="Calibri"/>
        </w:rPr>
        <w:t xml:space="preserve"> муниципального района от 29.12.2007 N 1054 "Порядок разработки, утверждения и реализации районных целевых программ".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мероприятий Программы осуществляет администрация </w:t>
      </w:r>
      <w:proofErr w:type="spellStart"/>
      <w:r>
        <w:rPr>
          <w:rFonts w:ascii="Calibri" w:hAnsi="Calibri" w:cs="Calibri"/>
        </w:rPr>
        <w:t>Добринского</w:t>
      </w:r>
      <w:proofErr w:type="spellEnd"/>
      <w:r>
        <w:rPr>
          <w:rFonts w:ascii="Calibri" w:hAnsi="Calibri" w:cs="Calibri"/>
        </w:rPr>
        <w:t xml:space="preserve"> муниципального района.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2.5.1. Оценка эффективности реализации Программы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 Программы позволит определить количество объектов социальной сферы, в которых требуется провести мероприятия по обеспечению доступа инвалидов, осуществлять постоянный мониторинг создания доступной среды для инвалидов и других маломобильных групп населения, приспособить ряд объектов социальной сферы, находящихся в муниципальной собственности, к нуждам инвалидов и других маломобильных групп населения.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реализации Программы оценивается по показателям, характеризующим состояние и динамику развития доступной среды для инвалидов и других маломобильных групп населения.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основных показателей деятельности в рамках Программы производится путем анализа общественного мнения через проведение социологических опросов, анкетирования, анализа представляемых основными исполнителями мероприятий отчетов о реализации мероприятий.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235"/>
      <w:bookmarkEnd w:id="5"/>
      <w:r>
        <w:rPr>
          <w:rFonts w:ascii="Calibri" w:hAnsi="Calibri" w:cs="Calibri"/>
        </w:rPr>
        <w:lastRenderedPageBreak/>
        <w:t>Динамика плановых показателей эффективности реализации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районной целевой программы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376"/>
        <w:gridCol w:w="1080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D3218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целей,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показателей, единицы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измерения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Величина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показа-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базовом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году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начала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реализа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ции</w:t>
            </w:r>
            <w:proofErr w:type="spellEnd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ро-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граммы  </w:t>
            </w:r>
          </w:p>
        </w:tc>
        <w:tc>
          <w:tcPr>
            <w:tcW w:w="51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Значение целевых показателей реализации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районной целевой программы (по годам) </w:t>
            </w: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2012 г.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2013 г.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2014 г.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2015 г. </w:t>
            </w: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Цель.      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Повышение качества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жизни инвалидов и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маломобильных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категорий граждан и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обеспечение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интеграции их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общество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Индикатор цели.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инвалидов и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маломобильных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категорий граждан,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удовлетворенных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доступностью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объектов транспорта,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числа   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анкетированных по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годам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(%)           </w:t>
            </w:r>
            <w:proofErr w:type="gram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30%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30%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Обеспечение доступа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инвалидов и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маломобильных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категорий граждан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информации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Удельный вес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паспортизированных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учреждений 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здравоохранения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общему числу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учреждений 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здравоохранения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(%) </w:t>
            </w:r>
            <w:proofErr w:type="gram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100%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100%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Удельный вес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паспортизированных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учреждений 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социальной защиты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населения к общему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числу учреждений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социальной защиты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населения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(%)       </w:t>
            </w:r>
            <w:proofErr w:type="gram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Повышение уровня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подготовки 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специалистов,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работающих с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инвалидами и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маломобильными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категориями граждан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Чел.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специалистов,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прошедших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обучение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вопросам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реабилитации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инвалидов в рамках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Программы (чел.)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Чел.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8.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Содействие 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интеграции 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детей-инвалидов и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маломобильных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граждан в общество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Количество инвалидов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детей-инвалидов,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принимающих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участие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социокультурных и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спортивных 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мероприятиях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рамках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Программы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(человек в год)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Чел.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10.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учреждений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образования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Чел.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11.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учреждений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физкультуры и спорта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Чел.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12.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Повышение  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доступности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инвалидов и других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маломобильных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категорий граждан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транспортной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инфраструктуры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13.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Удельный вес единиц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общественного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транспорта,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доступного для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перевозки  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маломобильных групп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процентах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к общему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количеству единиц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общественного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транспорта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(%)      </w:t>
            </w:r>
            <w:proofErr w:type="gram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352"/>
      <w:bookmarkEnd w:id="6"/>
      <w:r>
        <w:rPr>
          <w:rFonts w:ascii="Calibri" w:hAnsi="Calibri" w:cs="Calibri"/>
        </w:rPr>
        <w:t>III. СИСТЕМА ПРОГРАММНЫХ МЕРОПРИЯТИЙ</w:t>
      </w: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080"/>
        <w:gridCol w:w="756"/>
        <w:gridCol w:w="756"/>
        <w:gridCol w:w="756"/>
        <w:gridCol w:w="756"/>
        <w:gridCol w:w="864"/>
        <w:gridCol w:w="1728"/>
      </w:tblGrid>
      <w:tr w:rsidR="00D3218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мероприятий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по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периодам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выполне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38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Объем финансирования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районного бюджета (в тыс.   </w:t>
            </w:r>
            <w:proofErr w:type="gramEnd"/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руб.)            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Исполнители  </w:t>
            </w: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Цель              </w:t>
            </w:r>
          </w:p>
        </w:tc>
        <w:tc>
          <w:tcPr>
            <w:tcW w:w="669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7" w:name="Par362"/>
            <w:bookmarkEnd w:id="7"/>
            <w:r>
              <w:rPr>
                <w:rFonts w:ascii="Courier New" w:hAnsi="Courier New" w:cs="Courier New"/>
                <w:sz w:val="18"/>
                <w:szCs w:val="18"/>
              </w:rPr>
              <w:t xml:space="preserve">Повышение качества жизни инвалидов и маломобильных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категорий граждан и обеспечение интеграции их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общество                                              </w:t>
            </w: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Задача 1          </w:t>
            </w:r>
          </w:p>
        </w:tc>
        <w:tc>
          <w:tcPr>
            <w:tcW w:w="669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8" w:name="Par366"/>
            <w:bookmarkEnd w:id="8"/>
            <w:r>
              <w:rPr>
                <w:rFonts w:ascii="Courier New" w:hAnsi="Courier New" w:cs="Courier New"/>
                <w:sz w:val="18"/>
                <w:szCs w:val="18"/>
              </w:rPr>
              <w:t xml:space="preserve">Обеспечение доступа инвалидов и маломобильных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категорий граждан к информации                        </w:t>
            </w: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30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Приобретение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установка,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настройка,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обновление и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сопровождение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программного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обеспечения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автоматизированной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информационной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системы "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Доступная</w:t>
            </w:r>
            <w:proofErr w:type="gramEnd"/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среда",  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приобретение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функционирования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автоматизированной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системы "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Доступная</w:t>
            </w:r>
            <w:proofErr w:type="gramEnd"/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среда"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2013 -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300,0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образования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администрации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муниципального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        </w:t>
            </w: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Строительство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пандусов,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расширение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дверных</w:t>
            </w:r>
            <w:proofErr w:type="gramEnd"/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проемов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2012 -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500,0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образования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администрации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муниципального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        </w:t>
            </w: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паспортизации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учреждений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социальной сферы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предмет их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доступности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маломобильных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категорий граждан,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паспортизация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учреждений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социальной защиты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населения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   </w:t>
            </w: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паспортизация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учреждений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здравоохранения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27,6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27,6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МУЗ  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Добринская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ЦРБ"          </w:t>
            </w: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паспортизация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учреждений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образования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2014 -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50,0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образования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администрации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муниципального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        </w:t>
            </w: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паспортизация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учреждений службы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занятости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   </w:t>
            </w: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паспортизация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учреждений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культуры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15,0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Отдел культуры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администрации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муниципального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        </w:t>
            </w: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паспортизация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спортивных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учреждений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   </w:t>
            </w: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паспортизация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архивных 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учреждений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   </w:t>
            </w: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Подготовка и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издание материалов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для информирования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инвалидов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(объединений      </w:t>
            </w:r>
            <w:proofErr w:type="gramEnd"/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инвалидов)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вопросам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трудовой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занятости с учетом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требований рынка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труда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2012 -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6,0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ОКУ "ЦЗН"     </w:t>
            </w: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Приобретение и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установка пандусов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для перепада высот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инвалидной коляски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пандусов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преодоления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дверных порогов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инвалидной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коляской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2014 -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142,5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253,5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МУЗ  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Добринская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ЦРБ"          </w:t>
            </w: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101,0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301,0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443,0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307,1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1152,1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Задача N 2        </w:t>
            </w:r>
          </w:p>
        </w:tc>
        <w:tc>
          <w:tcPr>
            <w:tcW w:w="669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9" w:name="Par458"/>
            <w:bookmarkEnd w:id="9"/>
            <w:r>
              <w:rPr>
                <w:rFonts w:ascii="Courier New" w:hAnsi="Courier New" w:cs="Courier New"/>
                <w:sz w:val="18"/>
                <w:szCs w:val="18"/>
              </w:rPr>
              <w:t xml:space="preserve">Повышение уровня подготовки специалистов, работающих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инвалидами и маломобильными гражданами                </w:t>
            </w: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30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Организация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обучения 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(подготовки,      </w:t>
            </w:r>
            <w:proofErr w:type="gramEnd"/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переподготовки,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повышения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квалификации)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специалистов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лечебно- 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профилактических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использованием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инновационных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подходов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организации и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проведению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реабилитации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инвалидов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2014 -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55,0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МУЗ  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Добринская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ЦРБ"          </w:t>
            </w: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55,0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Задача 3          </w:t>
            </w:r>
          </w:p>
        </w:tc>
        <w:tc>
          <w:tcPr>
            <w:tcW w:w="669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10" w:name="Par481"/>
            <w:bookmarkEnd w:id="10"/>
            <w:r>
              <w:rPr>
                <w:rFonts w:ascii="Courier New" w:hAnsi="Courier New" w:cs="Courier New"/>
                <w:sz w:val="18"/>
                <w:szCs w:val="18"/>
              </w:rPr>
              <w:t xml:space="preserve">Содействие интеграции детей-инвалидов и маломобильных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категорий граждан в общество                          </w:t>
            </w: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16.</w:t>
            </w:r>
          </w:p>
        </w:tc>
        <w:tc>
          <w:tcPr>
            <w:tcW w:w="21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фестиваля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среди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одаренных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детей-инвалидов и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детей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ограниченными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возможностями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здоровья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2012 -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образования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администрации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муниципального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        </w:t>
            </w: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выставки 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декоративно-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прикладн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изобразительного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творчества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среди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детей-инвалидов и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детей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ограниченными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возможностями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здоровья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2012 -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образования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администрации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муниципального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        </w:t>
            </w: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соревнований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среди</w:t>
            </w:r>
            <w:proofErr w:type="gramEnd"/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детей-инвалидов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шашкам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2012 -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18,0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молодежной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политики,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физической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культуры,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спорта и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туризма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администрации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муниципального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        </w:t>
            </w: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районного конкурса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рисунков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среди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детей-инвалидов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2012 -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18,0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молодежной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политики,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физической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культуры,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спорта и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туризма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администрации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муниципального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        </w:t>
            </w: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фестиваля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художественного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творчества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среди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детей-инвалидов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2012 -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30,0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молодежной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политики,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физической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культуры,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спорта и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туризма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администрации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муниципального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        </w:t>
            </w: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106,0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Задача N 4        </w:t>
            </w:r>
          </w:p>
        </w:tc>
        <w:tc>
          <w:tcPr>
            <w:tcW w:w="496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11" w:name="Par540"/>
            <w:bookmarkEnd w:id="11"/>
            <w:r>
              <w:rPr>
                <w:rFonts w:ascii="Courier New" w:hAnsi="Courier New" w:cs="Courier New"/>
                <w:sz w:val="18"/>
                <w:szCs w:val="18"/>
              </w:rPr>
              <w:t xml:space="preserve">Повышение уровня доступности   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транспортной инфраструктуры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инвалидов и других маломобильных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категорий граждан     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Приобретение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полунизкопольных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автобусов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откидной аппарелью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транспортного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обслуживания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маломобильных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 населения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   </w:t>
            </w: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Приобретение и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установка дублеров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светофорные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объекты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   </w:t>
            </w: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   </w:t>
            </w:r>
          </w:p>
        </w:tc>
      </w:tr>
      <w:tr w:rsidR="00D3218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1313,1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Районный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бюджет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123,0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326,0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511,0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353,1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Районный      </w:t>
            </w:r>
          </w:p>
          <w:p w:rsidR="00D32181" w:rsidRDefault="00D3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бюджет        </w:t>
            </w:r>
          </w:p>
        </w:tc>
      </w:tr>
    </w:tbl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181" w:rsidRDefault="00D32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181" w:rsidRDefault="00D321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56CD" w:rsidRDefault="008856CD">
      <w:bookmarkStart w:id="12" w:name="_GoBack"/>
      <w:bookmarkEnd w:id="12"/>
    </w:p>
    <w:sectPr w:rsidR="008856CD" w:rsidSect="0036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81"/>
    <w:rsid w:val="008856CD"/>
    <w:rsid w:val="00D3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1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32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21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321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1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32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21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321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5E7D6AE2AA587AB36555BD1E76E842C0F532F864400487EC16EEBB62A8277vEu4G" TargetMode="External"/><Relationship Id="rId13" Type="http://schemas.openxmlformats.org/officeDocument/2006/relationships/hyperlink" Target="consultantplus://offline/ref=0345E7D6AE2AA587AB364B56C78B328B2D010B258B400818209E35B6E1v2u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45E7D6AE2AA587AB364B56C78B328B2D07082683440818209E35B6E1v2u3G" TargetMode="External"/><Relationship Id="rId12" Type="http://schemas.openxmlformats.org/officeDocument/2006/relationships/hyperlink" Target="consultantplus://offline/ref=0345E7D6AE2AA587AB364B56C78B328B2E0C0A2789145F1A71CB3BvBu3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5E7D6AE2AA587AB364B56C78B328B2D010B258B400818209E35B6E1v2u3G" TargetMode="External"/><Relationship Id="rId11" Type="http://schemas.openxmlformats.org/officeDocument/2006/relationships/hyperlink" Target="consultantplus://offline/ref=0345E7D6AE2AA587AB364B56C78B328B2E0C0A2789145F1A71CB3BvBu3G" TargetMode="External"/><Relationship Id="rId5" Type="http://schemas.openxmlformats.org/officeDocument/2006/relationships/hyperlink" Target="consultantplus://offline/ref=0345E7D6AE2AA587AB36555BD1E76E842C0F532F8745064A7BC16EEBB62A8277vEu4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45E7D6AE2AA587AB364B56C78B328B2D010B258B400818209E35B6E1v2u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45E7D6AE2AA587AB364B56C78B328B2D010B258B400818209E35B6E1v2u3G" TargetMode="External"/><Relationship Id="rId14" Type="http://schemas.openxmlformats.org/officeDocument/2006/relationships/hyperlink" Target="consultantplus://offline/ref=0345E7D6AE2AA587AB36555BD1E76E842C0F532F864400487EC16EEBB62A8277E4EF9B88DEF8BDD3F6F240vA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4639</Words>
  <Characters>26445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2014-06-16T06:46:00Z</dcterms:created>
  <dcterms:modified xsi:type="dcterms:W3CDTF">2014-06-16T06:49:00Z</dcterms:modified>
</cp:coreProperties>
</file>